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B231" w14:textId="0D32E5BE" w:rsidR="00B27BC6" w:rsidRPr="00525A18" w:rsidRDefault="00B27BC6" w:rsidP="00E24AFD">
      <w:pPr>
        <w:tabs>
          <w:tab w:val="left" w:pos="284"/>
        </w:tabs>
        <w:spacing w:line="508" w:lineRule="exact"/>
        <w:ind w:left="124" w:right="142"/>
        <w:jc w:val="center"/>
        <w:rPr>
          <w:rFonts w:ascii="Times New Roman" w:eastAsia="Microsoft YaHei UI" w:hAnsi="Times New Roman" w:cs="Times New Roman"/>
          <w:b/>
          <w:sz w:val="32"/>
          <w:szCs w:val="32"/>
        </w:rPr>
      </w:pPr>
      <w:r w:rsidRPr="00525A18">
        <w:rPr>
          <w:rFonts w:ascii="Times New Roman" w:eastAsia="Microsoft YaHei UI" w:hAnsi="Times New Roman" w:cs="Times New Roman"/>
          <w:b/>
          <w:sz w:val="32"/>
          <w:szCs w:val="32"/>
        </w:rPr>
        <w:t>Regulations Governing Faculty</w:t>
      </w:r>
      <w:r w:rsidR="00A5046C" w:rsidRPr="00525A18">
        <w:rPr>
          <w:rFonts w:ascii="Times New Roman" w:eastAsia="Microsoft YaHei UI" w:hAnsi="Times New Roman" w:cs="Times New Roman"/>
          <w:b/>
          <w:sz w:val="32"/>
          <w:szCs w:val="32"/>
        </w:rPr>
        <w:t>’s</w:t>
      </w:r>
      <w:r w:rsidRPr="00525A18">
        <w:rPr>
          <w:rFonts w:ascii="Times New Roman" w:eastAsia="Microsoft YaHei UI" w:hAnsi="Times New Roman" w:cs="Times New Roman"/>
          <w:b/>
          <w:sz w:val="32"/>
          <w:szCs w:val="32"/>
        </w:rPr>
        <w:t xml:space="preserve"> Short-Term Research and Stud</w:t>
      </w:r>
      <w:r w:rsidR="00A5046C" w:rsidRPr="00525A18">
        <w:rPr>
          <w:rFonts w:ascii="Times New Roman" w:eastAsia="Microsoft YaHei UI" w:hAnsi="Times New Roman" w:cs="Times New Roman"/>
          <w:b/>
          <w:sz w:val="32"/>
          <w:szCs w:val="32"/>
        </w:rPr>
        <w:t>ies</w:t>
      </w:r>
      <w:r w:rsidRPr="00525A18">
        <w:rPr>
          <w:rFonts w:ascii="Times New Roman" w:eastAsia="Microsoft YaHei UI" w:hAnsi="Times New Roman" w:cs="Times New Roman"/>
          <w:b/>
          <w:sz w:val="32"/>
          <w:szCs w:val="32"/>
        </w:rPr>
        <w:t xml:space="preserve"> Abroad at Chung Yuan Christian University</w:t>
      </w:r>
    </w:p>
    <w:p w14:paraId="24335BB2" w14:textId="77777777" w:rsidR="00612AC9" w:rsidRPr="00525A18" w:rsidRDefault="00612AC9">
      <w:pPr>
        <w:pStyle w:val="a3"/>
        <w:spacing w:before="9"/>
        <w:rPr>
          <w:rFonts w:ascii="Times New Roman" w:hAnsi="Times New Roman" w:cs="Times New Roman"/>
          <w:b/>
          <w:sz w:val="18"/>
        </w:rPr>
      </w:pPr>
    </w:p>
    <w:tbl>
      <w:tblPr>
        <w:tblW w:w="9497" w:type="dxa"/>
        <w:tblInd w:w="142" w:type="dxa"/>
        <w:tblLayout w:type="fixed"/>
        <w:tblCellMar>
          <w:left w:w="0" w:type="dxa"/>
          <w:right w:w="0" w:type="dxa"/>
        </w:tblCellMar>
        <w:tblLook w:val="01E0" w:firstRow="1" w:lastRow="1" w:firstColumn="1" w:lastColumn="1" w:noHBand="0" w:noVBand="0"/>
      </w:tblPr>
      <w:tblGrid>
        <w:gridCol w:w="20"/>
        <w:gridCol w:w="890"/>
        <w:gridCol w:w="8587"/>
      </w:tblGrid>
      <w:tr w:rsidR="00612AC9" w:rsidRPr="00525A18" w14:paraId="516F1B93" w14:textId="77777777" w:rsidTr="00EB568C">
        <w:trPr>
          <w:trHeight w:val="514"/>
        </w:trPr>
        <w:tc>
          <w:tcPr>
            <w:tcW w:w="910" w:type="dxa"/>
            <w:gridSpan w:val="2"/>
            <w:tcBorders>
              <w:top w:val="nil"/>
            </w:tcBorders>
          </w:tcPr>
          <w:p w14:paraId="71F9847C" w14:textId="77777777" w:rsidR="00612AC9" w:rsidRPr="00525A18" w:rsidRDefault="00612AC9">
            <w:pPr>
              <w:rPr>
                <w:rFonts w:ascii="Times New Roman" w:hAnsi="Times New Roman" w:cs="Times New Roman"/>
                <w:sz w:val="2"/>
                <w:szCs w:val="2"/>
              </w:rPr>
            </w:pPr>
          </w:p>
        </w:tc>
        <w:tc>
          <w:tcPr>
            <w:tcW w:w="8587" w:type="dxa"/>
          </w:tcPr>
          <w:p w14:paraId="7D42720B" w14:textId="70A8C551" w:rsidR="00BF231D" w:rsidRPr="00525A18" w:rsidRDefault="004B40BE" w:rsidP="00EB568C">
            <w:pPr>
              <w:pStyle w:val="TableParagraph"/>
              <w:spacing w:line="279" w:lineRule="exact"/>
              <w:ind w:leftChars="552" w:left="1214" w:right="6"/>
              <w:jc w:val="right"/>
              <w:rPr>
                <w:rFonts w:ascii="Times New Roman" w:hAnsi="Times New Roman" w:cs="Times New Roman"/>
                <w:sz w:val="18"/>
                <w:szCs w:val="18"/>
              </w:rPr>
            </w:pPr>
            <w:r w:rsidRPr="00525A18">
              <w:rPr>
                <w:rFonts w:ascii="Times New Roman" w:hAnsi="Times New Roman" w:cs="Times New Roman"/>
                <w:sz w:val="18"/>
                <w:szCs w:val="18"/>
              </w:rPr>
              <w:t xml:space="preserve">February </w:t>
            </w:r>
            <w:r w:rsidR="00BF231D" w:rsidRPr="00525A18">
              <w:rPr>
                <w:rFonts w:ascii="Times New Roman" w:hAnsi="Times New Roman" w:cs="Times New Roman"/>
                <w:sz w:val="18"/>
                <w:szCs w:val="18"/>
              </w:rPr>
              <w:t>9</w:t>
            </w:r>
            <w:r w:rsidR="00373A66" w:rsidRPr="00525A18">
              <w:rPr>
                <w:rFonts w:ascii="Times New Roman" w:hAnsi="Times New Roman" w:cs="Times New Roman"/>
                <w:sz w:val="18"/>
                <w:szCs w:val="18"/>
              </w:rPr>
              <w:t>, 1995, p</w:t>
            </w:r>
            <w:r w:rsidR="00BF231D" w:rsidRPr="00525A18">
              <w:rPr>
                <w:rFonts w:ascii="Times New Roman" w:hAnsi="Times New Roman" w:cs="Times New Roman"/>
                <w:sz w:val="18"/>
                <w:szCs w:val="18"/>
              </w:rPr>
              <w:t xml:space="preserve">assed by the 692nd </w:t>
            </w:r>
            <w:r w:rsidRPr="00525A18">
              <w:rPr>
                <w:rFonts w:ascii="Times New Roman" w:hAnsi="Times New Roman" w:cs="Times New Roman"/>
                <w:sz w:val="18"/>
                <w:szCs w:val="18"/>
              </w:rPr>
              <w:t>Administrative</w:t>
            </w:r>
            <w:r w:rsidR="00BF231D" w:rsidRPr="00525A18">
              <w:rPr>
                <w:rFonts w:ascii="Times New Roman" w:hAnsi="Times New Roman" w:cs="Times New Roman"/>
                <w:sz w:val="18"/>
                <w:szCs w:val="18"/>
              </w:rPr>
              <w:t xml:space="preserve"> Meeting</w:t>
            </w:r>
          </w:p>
          <w:p w14:paraId="791E0D33" w14:textId="6E892C8B" w:rsidR="00BF231D" w:rsidRPr="00525A18" w:rsidRDefault="004B40BE" w:rsidP="00EB568C">
            <w:pPr>
              <w:pStyle w:val="TableParagraph"/>
              <w:spacing w:line="279" w:lineRule="exact"/>
              <w:ind w:leftChars="552" w:left="1214"/>
              <w:jc w:val="right"/>
              <w:rPr>
                <w:rFonts w:ascii="Times New Roman" w:hAnsi="Times New Roman" w:cs="Times New Roman"/>
                <w:sz w:val="18"/>
                <w:szCs w:val="18"/>
              </w:rPr>
            </w:pPr>
            <w:r w:rsidRPr="00525A18">
              <w:rPr>
                <w:rFonts w:ascii="Times New Roman" w:hAnsi="Times New Roman" w:cs="Times New Roman"/>
                <w:sz w:val="18"/>
                <w:szCs w:val="18"/>
              </w:rPr>
              <w:t xml:space="preserve">June </w:t>
            </w:r>
            <w:r w:rsidR="00BF231D" w:rsidRPr="00525A18">
              <w:rPr>
                <w:rFonts w:ascii="Times New Roman" w:hAnsi="Times New Roman" w:cs="Times New Roman"/>
                <w:sz w:val="18"/>
                <w:szCs w:val="18"/>
              </w:rPr>
              <w:t>14</w:t>
            </w:r>
            <w:r w:rsidR="00373A66" w:rsidRPr="00525A18">
              <w:rPr>
                <w:rFonts w:ascii="Times New Roman" w:hAnsi="Times New Roman" w:cs="Times New Roman"/>
                <w:sz w:val="18"/>
                <w:szCs w:val="18"/>
              </w:rPr>
              <w:t>, 1996, amended</w:t>
            </w:r>
            <w:r w:rsidR="00BF231D" w:rsidRPr="00525A18">
              <w:rPr>
                <w:rFonts w:ascii="Times New Roman" w:hAnsi="Times New Roman" w:cs="Times New Roman"/>
                <w:sz w:val="18"/>
                <w:szCs w:val="18"/>
              </w:rPr>
              <w:t xml:space="preserve"> at the 708th </w:t>
            </w:r>
            <w:r w:rsidRPr="00525A18">
              <w:rPr>
                <w:rFonts w:ascii="Times New Roman" w:hAnsi="Times New Roman" w:cs="Times New Roman"/>
                <w:sz w:val="18"/>
                <w:szCs w:val="18"/>
              </w:rPr>
              <w:t xml:space="preserve">Administrative </w:t>
            </w:r>
            <w:r w:rsidR="00BF231D" w:rsidRPr="00525A18">
              <w:rPr>
                <w:rFonts w:ascii="Times New Roman" w:hAnsi="Times New Roman" w:cs="Times New Roman"/>
                <w:sz w:val="18"/>
                <w:szCs w:val="18"/>
              </w:rPr>
              <w:t>Meeting</w:t>
            </w:r>
          </w:p>
          <w:p w14:paraId="10ED4B73" w14:textId="45919802" w:rsidR="00BF231D" w:rsidRPr="00525A18" w:rsidRDefault="004B40BE" w:rsidP="00EB568C">
            <w:pPr>
              <w:pStyle w:val="TableParagraph"/>
              <w:spacing w:line="279" w:lineRule="exact"/>
              <w:ind w:leftChars="552" w:left="1214" w:right="6"/>
              <w:jc w:val="right"/>
              <w:rPr>
                <w:rFonts w:ascii="Times New Roman" w:hAnsi="Times New Roman" w:cs="Times New Roman"/>
                <w:sz w:val="18"/>
                <w:szCs w:val="18"/>
              </w:rPr>
            </w:pPr>
            <w:r w:rsidRPr="00525A18">
              <w:rPr>
                <w:rFonts w:ascii="Times New Roman" w:hAnsi="Times New Roman" w:cs="Times New Roman"/>
                <w:sz w:val="18"/>
                <w:szCs w:val="18"/>
              </w:rPr>
              <w:t xml:space="preserve">December </w:t>
            </w:r>
            <w:r w:rsidR="00BF231D" w:rsidRPr="00525A18">
              <w:rPr>
                <w:rFonts w:ascii="Times New Roman" w:hAnsi="Times New Roman" w:cs="Times New Roman"/>
                <w:sz w:val="18"/>
                <w:szCs w:val="18"/>
              </w:rPr>
              <w:t>21</w:t>
            </w:r>
            <w:r w:rsidR="00373A66" w:rsidRPr="00525A18">
              <w:rPr>
                <w:rFonts w:ascii="Times New Roman" w:hAnsi="Times New Roman" w:cs="Times New Roman"/>
                <w:sz w:val="18"/>
                <w:szCs w:val="18"/>
              </w:rPr>
              <w:t>, 1998, a</w:t>
            </w:r>
            <w:r w:rsidR="00BF231D" w:rsidRPr="00525A18">
              <w:rPr>
                <w:rFonts w:ascii="Times New Roman" w:hAnsi="Times New Roman" w:cs="Times New Roman"/>
                <w:sz w:val="18"/>
                <w:szCs w:val="18"/>
              </w:rPr>
              <w:t>mend</w:t>
            </w:r>
            <w:r w:rsidR="00373A66" w:rsidRPr="00525A18">
              <w:rPr>
                <w:rFonts w:ascii="Times New Roman" w:hAnsi="Times New Roman" w:cs="Times New Roman"/>
                <w:sz w:val="18"/>
                <w:szCs w:val="18"/>
              </w:rPr>
              <w:t>ed</w:t>
            </w:r>
            <w:r w:rsidR="00BF231D" w:rsidRPr="00525A18">
              <w:rPr>
                <w:rFonts w:ascii="Times New Roman" w:hAnsi="Times New Roman" w:cs="Times New Roman"/>
                <w:sz w:val="18"/>
                <w:szCs w:val="18"/>
              </w:rPr>
              <w:t xml:space="preserve"> at the 735th </w:t>
            </w:r>
            <w:r w:rsidRPr="00525A18">
              <w:rPr>
                <w:rFonts w:ascii="Times New Roman" w:hAnsi="Times New Roman" w:cs="Times New Roman"/>
                <w:sz w:val="18"/>
                <w:szCs w:val="18"/>
              </w:rPr>
              <w:t xml:space="preserve">Administrative </w:t>
            </w:r>
            <w:r w:rsidR="00BF231D" w:rsidRPr="00525A18">
              <w:rPr>
                <w:rFonts w:ascii="Times New Roman" w:hAnsi="Times New Roman" w:cs="Times New Roman"/>
                <w:sz w:val="18"/>
                <w:szCs w:val="18"/>
              </w:rPr>
              <w:t>Meeting</w:t>
            </w:r>
          </w:p>
          <w:p w14:paraId="7A74403C" w14:textId="4AAEF1DE" w:rsidR="00BF231D" w:rsidRPr="00525A18" w:rsidRDefault="004B40BE" w:rsidP="00EB568C">
            <w:pPr>
              <w:pStyle w:val="TableParagraph"/>
              <w:spacing w:line="279" w:lineRule="exact"/>
              <w:ind w:leftChars="552" w:left="1214" w:right="6"/>
              <w:jc w:val="right"/>
              <w:rPr>
                <w:rFonts w:ascii="Times New Roman" w:hAnsi="Times New Roman" w:cs="Times New Roman"/>
                <w:sz w:val="18"/>
                <w:szCs w:val="18"/>
              </w:rPr>
            </w:pPr>
            <w:r w:rsidRPr="00525A18">
              <w:rPr>
                <w:rFonts w:ascii="Times New Roman" w:hAnsi="Times New Roman" w:cs="Times New Roman"/>
                <w:sz w:val="18"/>
                <w:szCs w:val="18"/>
              </w:rPr>
              <w:t xml:space="preserve">February </w:t>
            </w:r>
            <w:r w:rsidR="00BF231D" w:rsidRPr="00525A18">
              <w:rPr>
                <w:rFonts w:ascii="Times New Roman" w:hAnsi="Times New Roman" w:cs="Times New Roman"/>
                <w:sz w:val="18"/>
                <w:szCs w:val="18"/>
              </w:rPr>
              <w:t>13</w:t>
            </w:r>
            <w:r w:rsidR="00373A66" w:rsidRPr="00525A18">
              <w:rPr>
                <w:rFonts w:ascii="Times New Roman" w:hAnsi="Times New Roman" w:cs="Times New Roman"/>
                <w:sz w:val="18"/>
                <w:szCs w:val="18"/>
              </w:rPr>
              <w:t>, 200</w:t>
            </w:r>
            <w:r w:rsidRPr="00525A18">
              <w:rPr>
                <w:rFonts w:ascii="Times New Roman" w:hAnsi="Times New Roman" w:cs="Times New Roman"/>
                <w:sz w:val="18"/>
                <w:szCs w:val="18"/>
              </w:rPr>
              <w:t>3, amended</w:t>
            </w:r>
            <w:r w:rsidR="00BF231D" w:rsidRPr="00525A18">
              <w:rPr>
                <w:rFonts w:ascii="Times New Roman" w:hAnsi="Times New Roman" w:cs="Times New Roman"/>
                <w:sz w:val="18"/>
                <w:szCs w:val="18"/>
              </w:rPr>
              <w:t xml:space="preserve"> at the 785th </w:t>
            </w:r>
            <w:r w:rsidRPr="00525A18">
              <w:rPr>
                <w:rFonts w:ascii="Times New Roman" w:hAnsi="Times New Roman" w:cs="Times New Roman"/>
                <w:sz w:val="18"/>
                <w:szCs w:val="18"/>
              </w:rPr>
              <w:t xml:space="preserve">Administrative </w:t>
            </w:r>
            <w:r w:rsidR="00BF231D" w:rsidRPr="00525A18">
              <w:rPr>
                <w:rFonts w:ascii="Times New Roman" w:hAnsi="Times New Roman" w:cs="Times New Roman"/>
                <w:sz w:val="18"/>
                <w:szCs w:val="18"/>
              </w:rPr>
              <w:t>Meeting</w:t>
            </w:r>
          </w:p>
          <w:p w14:paraId="58D1263F" w14:textId="7C0C7498" w:rsidR="00BF231D" w:rsidRPr="00525A18" w:rsidRDefault="004B40BE" w:rsidP="00EB568C">
            <w:pPr>
              <w:pStyle w:val="TableParagraph"/>
              <w:spacing w:line="279" w:lineRule="exact"/>
              <w:ind w:leftChars="552" w:left="1214" w:right="6"/>
              <w:jc w:val="right"/>
              <w:rPr>
                <w:rFonts w:ascii="Times New Roman" w:hAnsi="Times New Roman" w:cs="Times New Roman"/>
                <w:sz w:val="18"/>
                <w:szCs w:val="18"/>
              </w:rPr>
            </w:pPr>
            <w:r w:rsidRPr="00525A18">
              <w:rPr>
                <w:rFonts w:ascii="Times New Roman" w:hAnsi="Times New Roman" w:cs="Times New Roman"/>
                <w:sz w:val="18"/>
                <w:szCs w:val="18"/>
              </w:rPr>
              <w:t xml:space="preserve">February </w:t>
            </w:r>
            <w:r w:rsidR="00BF231D" w:rsidRPr="00525A18">
              <w:rPr>
                <w:rFonts w:ascii="Times New Roman" w:hAnsi="Times New Roman" w:cs="Times New Roman"/>
                <w:sz w:val="18"/>
                <w:szCs w:val="18"/>
              </w:rPr>
              <w:t>9</w:t>
            </w:r>
            <w:r w:rsidRPr="00525A18">
              <w:rPr>
                <w:rFonts w:ascii="Times New Roman" w:hAnsi="Times New Roman" w:cs="Times New Roman"/>
                <w:sz w:val="18"/>
                <w:szCs w:val="18"/>
              </w:rPr>
              <w:t>, 2006, amended</w:t>
            </w:r>
            <w:r w:rsidR="00BF231D" w:rsidRPr="00525A18">
              <w:rPr>
                <w:rFonts w:ascii="Times New Roman" w:hAnsi="Times New Roman" w:cs="Times New Roman"/>
                <w:sz w:val="18"/>
                <w:szCs w:val="18"/>
              </w:rPr>
              <w:t xml:space="preserve"> at the 821st </w:t>
            </w:r>
            <w:r w:rsidRPr="00525A18">
              <w:rPr>
                <w:rFonts w:ascii="Times New Roman" w:hAnsi="Times New Roman" w:cs="Times New Roman"/>
                <w:sz w:val="18"/>
                <w:szCs w:val="18"/>
              </w:rPr>
              <w:t>Administrative Meeting</w:t>
            </w:r>
          </w:p>
          <w:p w14:paraId="6AB520D1" w14:textId="1D62D591" w:rsidR="00BF231D" w:rsidRPr="00525A18" w:rsidRDefault="004B40BE" w:rsidP="00EB568C">
            <w:pPr>
              <w:pStyle w:val="TableParagraph"/>
              <w:spacing w:line="279" w:lineRule="exact"/>
              <w:ind w:leftChars="552" w:left="1214" w:right="6"/>
              <w:jc w:val="right"/>
              <w:rPr>
                <w:rFonts w:ascii="Times New Roman" w:hAnsi="Times New Roman" w:cs="Times New Roman"/>
                <w:sz w:val="18"/>
                <w:szCs w:val="18"/>
              </w:rPr>
            </w:pPr>
            <w:r w:rsidRPr="00525A18">
              <w:rPr>
                <w:rFonts w:ascii="Times New Roman" w:hAnsi="Times New Roman" w:cs="Times New Roman"/>
                <w:sz w:val="18"/>
                <w:szCs w:val="18"/>
              </w:rPr>
              <w:t xml:space="preserve">June </w:t>
            </w:r>
            <w:r w:rsidR="00BF231D" w:rsidRPr="00525A18">
              <w:rPr>
                <w:rFonts w:ascii="Times New Roman" w:hAnsi="Times New Roman" w:cs="Times New Roman"/>
                <w:sz w:val="18"/>
                <w:szCs w:val="18"/>
              </w:rPr>
              <w:t>14</w:t>
            </w:r>
            <w:r w:rsidRPr="00525A18">
              <w:rPr>
                <w:rFonts w:ascii="Times New Roman" w:hAnsi="Times New Roman" w:cs="Times New Roman"/>
                <w:sz w:val="18"/>
                <w:szCs w:val="18"/>
              </w:rPr>
              <w:t>, 2007, amended</w:t>
            </w:r>
            <w:r w:rsidR="00BF231D" w:rsidRPr="00525A18">
              <w:rPr>
                <w:rFonts w:ascii="Times New Roman" w:hAnsi="Times New Roman" w:cs="Times New Roman"/>
                <w:sz w:val="18"/>
                <w:szCs w:val="18"/>
              </w:rPr>
              <w:t xml:space="preserve"> at the 837th </w:t>
            </w:r>
            <w:r w:rsidRPr="00525A18">
              <w:rPr>
                <w:rFonts w:ascii="Times New Roman" w:hAnsi="Times New Roman" w:cs="Times New Roman"/>
                <w:sz w:val="18"/>
                <w:szCs w:val="18"/>
              </w:rPr>
              <w:t xml:space="preserve">Administrative </w:t>
            </w:r>
            <w:r w:rsidR="00BF231D" w:rsidRPr="00525A18">
              <w:rPr>
                <w:rFonts w:ascii="Times New Roman" w:hAnsi="Times New Roman" w:cs="Times New Roman"/>
                <w:sz w:val="18"/>
                <w:szCs w:val="18"/>
              </w:rPr>
              <w:t>Meeting</w:t>
            </w:r>
          </w:p>
          <w:p w14:paraId="41B8DB46" w14:textId="37BAC3E0" w:rsidR="00BF231D" w:rsidRPr="00525A18" w:rsidRDefault="004B40BE" w:rsidP="00EB568C">
            <w:pPr>
              <w:pStyle w:val="TableParagraph"/>
              <w:spacing w:line="279" w:lineRule="exact"/>
              <w:ind w:leftChars="552" w:left="1214" w:right="6"/>
              <w:jc w:val="right"/>
              <w:rPr>
                <w:rFonts w:ascii="Times New Roman" w:hAnsi="Times New Roman" w:cs="Times New Roman"/>
                <w:sz w:val="18"/>
                <w:szCs w:val="18"/>
              </w:rPr>
            </w:pPr>
            <w:r w:rsidRPr="00525A18">
              <w:rPr>
                <w:rFonts w:ascii="Times New Roman" w:hAnsi="Times New Roman" w:cs="Times New Roman"/>
                <w:sz w:val="18"/>
                <w:szCs w:val="18"/>
              </w:rPr>
              <w:t xml:space="preserve">June </w:t>
            </w:r>
            <w:r w:rsidR="00BF231D" w:rsidRPr="00525A18">
              <w:rPr>
                <w:rFonts w:ascii="Times New Roman" w:hAnsi="Times New Roman" w:cs="Times New Roman"/>
                <w:sz w:val="18"/>
                <w:szCs w:val="18"/>
              </w:rPr>
              <w:t>2</w:t>
            </w:r>
            <w:r w:rsidRPr="00525A18">
              <w:rPr>
                <w:rFonts w:ascii="Times New Roman" w:hAnsi="Times New Roman" w:cs="Times New Roman"/>
                <w:sz w:val="18"/>
                <w:szCs w:val="18"/>
              </w:rPr>
              <w:t>, 2011, amended</w:t>
            </w:r>
            <w:r w:rsidR="00BF231D" w:rsidRPr="00525A18">
              <w:rPr>
                <w:rFonts w:ascii="Times New Roman" w:hAnsi="Times New Roman" w:cs="Times New Roman"/>
                <w:sz w:val="18"/>
                <w:szCs w:val="18"/>
              </w:rPr>
              <w:t xml:space="preserve"> at the 886th </w:t>
            </w:r>
            <w:r w:rsidRPr="00525A18">
              <w:rPr>
                <w:rFonts w:ascii="Times New Roman" w:hAnsi="Times New Roman" w:cs="Times New Roman"/>
                <w:sz w:val="18"/>
                <w:szCs w:val="18"/>
              </w:rPr>
              <w:t>Administrative Meeting</w:t>
            </w:r>
          </w:p>
          <w:p w14:paraId="6BC0F51A" w14:textId="416EF775" w:rsidR="00BF231D" w:rsidRPr="00525A18" w:rsidRDefault="004B40BE" w:rsidP="00EB568C">
            <w:pPr>
              <w:pStyle w:val="TableParagraph"/>
              <w:spacing w:line="279" w:lineRule="exact"/>
              <w:ind w:leftChars="552" w:left="1214" w:right="6"/>
              <w:jc w:val="right"/>
              <w:rPr>
                <w:rFonts w:ascii="Times New Roman" w:hAnsi="Times New Roman" w:cs="Times New Roman"/>
                <w:sz w:val="18"/>
                <w:szCs w:val="18"/>
              </w:rPr>
            </w:pPr>
            <w:r w:rsidRPr="00525A18">
              <w:rPr>
                <w:rFonts w:ascii="Times New Roman" w:hAnsi="Times New Roman" w:cs="Times New Roman"/>
                <w:sz w:val="18"/>
                <w:szCs w:val="18"/>
              </w:rPr>
              <w:t xml:space="preserve">June </w:t>
            </w:r>
            <w:r w:rsidR="00BF231D" w:rsidRPr="00525A18">
              <w:rPr>
                <w:rFonts w:ascii="Times New Roman" w:hAnsi="Times New Roman" w:cs="Times New Roman"/>
                <w:sz w:val="18"/>
                <w:szCs w:val="18"/>
              </w:rPr>
              <w:t>7</w:t>
            </w:r>
            <w:r w:rsidRPr="00525A18">
              <w:rPr>
                <w:rFonts w:ascii="Times New Roman" w:hAnsi="Times New Roman" w:cs="Times New Roman"/>
                <w:sz w:val="18"/>
                <w:szCs w:val="18"/>
              </w:rPr>
              <w:t>, 2012, amended at</w:t>
            </w:r>
            <w:r w:rsidR="00BF231D" w:rsidRPr="00525A18">
              <w:rPr>
                <w:rFonts w:ascii="Times New Roman" w:hAnsi="Times New Roman" w:cs="Times New Roman"/>
                <w:sz w:val="18"/>
                <w:szCs w:val="18"/>
              </w:rPr>
              <w:t xml:space="preserve"> the 898th </w:t>
            </w:r>
            <w:r w:rsidRPr="00525A18">
              <w:rPr>
                <w:rFonts w:ascii="Times New Roman" w:hAnsi="Times New Roman" w:cs="Times New Roman"/>
                <w:sz w:val="18"/>
                <w:szCs w:val="18"/>
              </w:rPr>
              <w:t xml:space="preserve">Administrative </w:t>
            </w:r>
            <w:r w:rsidR="00BF231D" w:rsidRPr="00525A18">
              <w:rPr>
                <w:rFonts w:ascii="Times New Roman" w:hAnsi="Times New Roman" w:cs="Times New Roman"/>
                <w:sz w:val="18"/>
                <w:szCs w:val="18"/>
              </w:rPr>
              <w:t>Meeting</w:t>
            </w:r>
          </w:p>
          <w:p w14:paraId="6487DD21" w14:textId="14F7C4AE" w:rsidR="00BF231D" w:rsidRPr="00525A18" w:rsidRDefault="004B40BE" w:rsidP="00EB568C">
            <w:pPr>
              <w:pStyle w:val="TableParagraph"/>
              <w:spacing w:line="279" w:lineRule="exact"/>
              <w:ind w:leftChars="552" w:left="1214" w:right="6"/>
              <w:jc w:val="right"/>
              <w:rPr>
                <w:rFonts w:ascii="Times New Roman" w:hAnsi="Times New Roman" w:cs="Times New Roman"/>
                <w:sz w:val="18"/>
                <w:szCs w:val="18"/>
              </w:rPr>
            </w:pPr>
            <w:r w:rsidRPr="00525A18">
              <w:rPr>
                <w:rFonts w:ascii="Times New Roman" w:hAnsi="Times New Roman" w:cs="Times New Roman"/>
                <w:sz w:val="18"/>
                <w:szCs w:val="18"/>
              </w:rPr>
              <w:t xml:space="preserve"> January </w:t>
            </w:r>
            <w:r w:rsidR="00BF231D" w:rsidRPr="00525A18">
              <w:rPr>
                <w:rFonts w:ascii="Times New Roman" w:hAnsi="Times New Roman" w:cs="Times New Roman"/>
                <w:sz w:val="18"/>
                <w:szCs w:val="18"/>
              </w:rPr>
              <w:t>2</w:t>
            </w:r>
            <w:r w:rsidRPr="00525A18">
              <w:rPr>
                <w:rFonts w:ascii="Times New Roman" w:hAnsi="Times New Roman" w:cs="Times New Roman"/>
                <w:sz w:val="18"/>
                <w:szCs w:val="18"/>
              </w:rPr>
              <w:t>, 2014, amended</w:t>
            </w:r>
            <w:r w:rsidR="00BF231D" w:rsidRPr="00525A18">
              <w:rPr>
                <w:rFonts w:ascii="Times New Roman" w:hAnsi="Times New Roman" w:cs="Times New Roman"/>
                <w:sz w:val="18"/>
                <w:szCs w:val="18"/>
              </w:rPr>
              <w:t xml:space="preserve"> at the 916th </w:t>
            </w:r>
            <w:r w:rsidRPr="00525A18">
              <w:rPr>
                <w:rFonts w:ascii="Times New Roman" w:hAnsi="Times New Roman" w:cs="Times New Roman"/>
                <w:sz w:val="18"/>
                <w:szCs w:val="18"/>
              </w:rPr>
              <w:t xml:space="preserve">Administrative </w:t>
            </w:r>
            <w:r w:rsidR="00A60FC8" w:rsidRPr="00525A18">
              <w:rPr>
                <w:rFonts w:ascii="Times New Roman" w:hAnsi="Times New Roman" w:cs="Times New Roman"/>
                <w:sz w:val="18"/>
                <w:szCs w:val="18"/>
              </w:rPr>
              <w:t>Meeting</w:t>
            </w:r>
          </w:p>
          <w:p w14:paraId="4B3B3067" w14:textId="6F63791B" w:rsidR="00BF231D" w:rsidRPr="00525A18" w:rsidRDefault="004B40BE" w:rsidP="00EB568C">
            <w:pPr>
              <w:pStyle w:val="TableParagraph"/>
              <w:spacing w:line="279" w:lineRule="exact"/>
              <w:ind w:leftChars="552" w:left="1214" w:right="6"/>
              <w:jc w:val="right"/>
              <w:rPr>
                <w:rFonts w:ascii="Times New Roman" w:hAnsi="Times New Roman" w:cs="Times New Roman"/>
                <w:sz w:val="18"/>
                <w:szCs w:val="18"/>
              </w:rPr>
            </w:pPr>
            <w:r w:rsidRPr="00525A18">
              <w:rPr>
                <w:rFonts w:ascii="Times New Roman" w:hAnsi="Times New Roman" w:cs="Times New Roman"/>
                <w:sz w:val="18"/>
                <w:szCs w:val="18"/>
              </w:rPr>
              <w:t>March 5, 2014, amended</w:t>
            </w:r>
            <w:r w:rsidR="00BF231D" w:rsidRPr="00525A18">
              <w:rPr>
                <w:rFonts w:ascii="Times New Roman" w:hAnsi="Times New Roman" w:cs="Times New Roman"/>
                <w:sz w:val="18"/>
                <w:szCs w:val="18"/>
              </w:rPr>
              <w:t xml:space="preserve"> </w:t>
            </w:r>
            <w:r w:rsidR="00AF01AF" w:rsidRPr="00525A18">
              <w:rPr>
                <w:rFonts w:ascii="Times New Roman" w:hAnsi="Times New Roman" w:cs="Times New Roman"/>
                <w:sz w:val="18"/>
                <w:szCs w:val="18"/>
              </w:rPr>
              <w:t xml:space="preserve">via </w:t>
            </w:r>
            <w:r w:rsidR="00A5046C" w:rsidRPr="00525A18">
              <w:rPr>
                <w:rFonts w:ascii="Times New Roman" w:hAnsi="Times New Roman" w:cs="Times New Roman"/>
                <w:sz w:val="18"/>
                <w:szCs w:val="18"/>
              </w:rPr>
              <w:t xml:space="preserve">an </w:t>
            </w:r>
            <w:r w:rsidR="00AF01AF" w:rsidRPr="00525A18">
              <w:rPr>
                <w:rFonts w:ascii="Times New Roman" w:hAnsi="Times New Roman" w:cs="Times New Roman"/>
                <w:sz w:val="18"/>
                <w:szCs w:val="18"/>
              </w:rPr>
              <w:t xml:space="preserve">official </w:t>
            </w:r>
            <w:r w:rsidR="00203416" w:rsidRPr="00525A18">
              <w:rPr>
                <w:rFonts w:ascii="Times New Roman" w:hAnsi="Times New Roman" w:cs="Times New Roman"/>
                <w:sz w:val="18"/>
                <w:szCs w:val="18"/>
              </w:rPr>
              <w:t>letter</w:t>
            </w:r>
            <w:r w:rsidR="00AF01AF" w:rsidRPr="00525A18">
              <w:rPr>
                <w:rFonts w:ascii="Times New Roman" w:hAnsi="Times New Roman" w:cs="Times New Roman"/>
                <w:sz w:val="18"/>
                <w:szCs w:val="18"/>
              </w:rPr>
              <w:t xml:space="preserve"> with original secretariat reference no. </w:t>
            </w:r>
            <w:r w:rsidR="00BF231D" w:rsidRPr="00525A18">
              <w:rPr>
                <w:rFonts w:ascii="Times New Roman" w:hAnsi="Times New Roman" w:cs="Times New Roman"/>
                <w:sz w:val="18"/>
                <w:szCs w:val="18"/>
              </w:rPr>
              <w:t xml:space="preserve">1030000643 </w:t>
            </w:r>
          </w:p>
          <w:p w14:paraId="38BCAB19" w14:textId="3B60DA38" w:rsidR="00BF231D" w:rsidRPr="00525A18" w:rsidRDefault="004B40BE" w:rsidP="00EB568C">
            <w:pPr>
              <w:pStyle w:val="TableParagraph"/>
              <w:spacing w:line="279" w:lineRule="exact"/>
              <w:ind w:leftChars="552" w:left="1214" w:right="6"/>
              <w:jc w:val="right"/>
              <w:rPr>
                <w:rFonts w:ascii="Times New Roman" w:hAnsi="Times New Roman" w:cs="Times New Roman"/>
                <w:sz w:val="18"/>
                <w:szCs w:val="18"/>
              </w:rPr>
            </w:pPr>
            <w:r w:rsidRPr="00525A18">
              <w:rPr>
                <w:rFonts w:ascii="Times New Roman" w:hAnsi="Times New Roman" w:cs="Times New Roman"/>
                <w:sz w:val="18"/>
                <w:szCs w:val="18"/>
              </w:rPr>
              <w:t>August 25, 2016, a</w:t>
            </w:r>
            <w:r w:rsidR="00BF231D" w:rsidRPr="00525A18">
              <w:rPr>
                <w:rFonts w:ascii="Times New Roman" w:hAnsi="Times New Roman" w:cs="Times New Roman"/>
                <w:sz w:val="18"/>
                <w:szCs w:val="18"/>
              </w:rPr>
              <w:t xml:space="preserve">mended </w:t>
            </w:r>
            <w:r w:rsidR="00AF01AF" w:rsidRPr="00525A18">
              <w:rPr>
                <w:rFonts w:ascii="Times New Roman" w:hAnsi="Times New Roman" w:cs="Times New Roman"/>
                <w:sz w:val="18"/>
                <w:szCs w:val="18"/>
              </w:rPr>
              <w:t xml:space="preserve">via </w:t>
            </w:r>
            <w:r w:rsidR="00A5046C" w:rsidRPr="00525A18">
              <w:rPr>
                <w:rFonts w:ascii="Times New Roman" w:hAnsi="Times New Roman" w:cs="Times New Roman"/>
                <w:sz w:val="18"/>
                <w:szCs w:val="18"/>
              </w:rPr>
              <w:t xml:space="preserve">an </w:t>
            </w:r>
            <w:r w:rsidR="00AF01AF" w:rsidRPr="00525A18">
              <w:rPr>
                <w:rFonts w:ascii="Times New Roman" w:hAnsi="Times New Roman" w:cs="Times New Roman"/>
                <w:sz w:val="18"/>
                <w:szCs w:val="18"/>
              </w:rPr>
              <w:t xml:space="preserve">official </w:t>
            </w:r>
            <w:r w:rsidR="00203416" w:rsidRPr="00525A18">
              <w:rPr>
                <w:rFonts w:ascii="Times New Roman" w:hAnsi="Times New Roman" w:cs="Times New Roman"/>
                <w:sz w:val="18"/>
                <w:szCs w:val="18"/>
              </w:rPr>
              <w:t>letter</w:t>
            </w:r>
            <w:r w:rsidR="00AF01AF" w:rsidRPr="00525A18">
              <w:rPr>
                <w:rFonts w:ascii="Times New Roman" w:hAnsi="Times New Roman" w:cs="Times New Roman"/>
                <w:sz w:val="18"/>
                <w:szCs w:val="18"/>
              </w:rPr>
              <w:t xml:space="preserve"> with original secretariat reference no.</w:t>
            </w:r>
            <w:r w:rsidR="00BF231D" w:rsidRPr="00525A18">
              <w:rPr>
                <w:rFonts w:ascii="Times New Roman" w:hAnsi="Times New Roman" w:cs="Times New Roman"/>
                <w:sz w:val="18"/>
                <w:szCs w:val="18"/>
              </w:rPr>
              <w:t xml:space="preserve"> 1050002657 </w:t>
            </w:r>
          </w:p>
          <w:p w14:paraId="19C0086A" w14:textId="170664B0" w:rsidR="00BF231D" w:rsidRPr="00525A18" w:rsidRDefault="004B40BE" w:rsidP="00EB568C">
            <w:pPr>
              <w:pStyle w:val="TableParagraph"/>
              <w:spacing w:line="279" w:lineRule="exact"/>
              <w:ind w:leftChars="552" w:left="1214" w:right="6"/>
              <w:jc w:val="right"/>
              <w:rPr>
                <w:rFonts w:ascii="Times New Roman" w:hAnsi="Times New Roman" w:cs="Times New Roman"/>
                <w:sz w:val="18"/>
                <w:szCs w:val="18"/>
              </w:rPr>
            </w:pPr>
            <w:r w:rsidRPr="00525A18">
              <w:rPr>
                <w:rFonts w:ascii="Times New Roman" w:hAnsi="Times New Roman" w:cs="Times New Roman"/>
                <w:sz w:val="18"/>
                <w:szCs w:val="18"/>
              </w:rPr>
              <w:t>August 3, 2022, a</w:t>
            </w:r>
            <w:r w:rsidR="00BF231D" w:rsidRPr="00525A18">
              <w:rPr>
                <w:rFonts w:ascii="Times New Roman" w:hAnsi="Times New Roman" w:cs="Times New Roman"/>
                <w:sz w:val="18"/>
                <w:szCs w:val="18"/>
              </w:rPr>
              <w:t xml:space="preserve">mended </w:t>
            </w:r>
            <w:r w:rsidR="00AF01AF" w:rsidRPr="00525A18">
              <w:rPr>
                <w:rFonts w:ascii="Times New Roman" w:hAnsi="Times New Roman" w:cs="Times New Roman"/>
                <w:sz w:val="18"/>
                <w:szCs w:val="18"/>
              </w:rPr>
              <w:t>via</w:t>
            </w:r>
            <w:r w:rsidR="00A5046C" w:rsidRPr="00525A18">
              <w:rPr>
                <w:rFonts w:ascii="Times New Roman" w:hAnsi="Times New Roman" w:cs="Times New Roman"/>
                <w:sz w:val="18"/>
                <w:szCs w:val="18"/>
              </w:rPr>
              <w:t xml:space="preserve"> an</w:t>
            </w:r>
            <w:r w:rsidR="00AF01AF" w:rsidRPr="00525A18">
              <w:rPr>
                <w:rFonts w:ascii="Times New Roman" w:hAnsi="Times New Roman" w:cs="Times New Roman"/>
                <w:sz w:val="18"/>
                <w:szCs w:val="18"/>
              </w:rPr>
              <w:t xml:space="preserve"> official </w:t>
            </w:r>
            <w:r w:rsidR="00203416" w:rsidRPr="00525A18">
              <w:rPr>
                <w:rFonts w:ascii="Times New Roman" w:hAnsi="Times New Roman" w:cs="Times New Roman"/>
                <w:sz w:val="18"/>
                <w:szCs w:val="18"/>
              </w:rPr>
              <w:t>letter</w:t>
            </w:r>
            <w:r w:rsidR="00AF01AF" w:rsidRPr="00525A18">
              <w:rPr>
                <w:rFonts w:ascii="Times New Roman" w:hAnsi="Times New Roman" w:cs="Times New Roman"/>
                <w:sz w:val="18"/>
                <w:szCs w:val="18"/>
              </w:rPr>
              <w:t xml:space="preserve"> with original secretariat reference no.</w:t>
            </w:r>
            <w:r w:rsidR="00BF231D" w:rsidRPr="00525A18">
              <w:rPr>
                <w:rFonts w:ascii="Times New Roman" w:hAnsi="Times New Roman" w:cs="Times New Roman"/>
                <w:sz w:val="18"/>
                <w:szCs w:val="18"/>
              </w:rPr>
              <w:t xml:space="preserve"> 1110002691 </w:t>
            </w:r>
          </w:p>
          <w:p w14:paraId="0C5C7131" w14:textId="00E8EAF2" w:rsidR="00AF01AF" w:rsidRPr="00525A18" w:rsidRDefault="00AF01AF" w:rsidP="00AF01AF">
            <w:pPr>
              <w:pStyle w:val="Default"/>
              <w:rPr>
                <w:rFonts w:ascii="Times New Roman" w:hAnsi="Times New Roman" w:cs="Times New Roman"/>
                <w:sz w:val="18"/>
                <w:szCs w:val="18"/>
              </w:rPr>
            </w:pPr>
          </w:p>
        </w:tc>
      </w:tr>
      <w:tr w:rsidR="00E24AFD" w:rsidRPr="00525A18" w14:paraId="4FDF129E" w14:textId="77777777" w:rsidTr="00EB568C">
        <w:trPr>
          <w:trHeight w:val="525"/>
        </w:trPr>
        <w:tc>
          <w:tcPr>
            <w:tcW w:w="9497" w:type="dxa"/>
            <w:gridSpan w:val="3"/>
            <w:vMerge w:val="restart"/>
          </w:tcPr>
          <w:p w14:paraId="1F399FDF" w14:textId="66DA5B34" w:rsidR="00E24AFD" w:rsidRPr="00525A18" w:rsidRDefault="00E24AFD" w:rsidP="00EB568C">
            <w:pPr>
              <w:pStyle w:val="TableParagraph"/>
              <w:spacing w:before="3"/>
              <w:ind w:left="1190" w:hangingChars="500" w:hanging="1190"/>
              <w:jc w:val="both"/>
              <w:rPr>
                <w:rFonts w:ascii="Times New Roman" w:hAnsi="Times New Roman" w:cs="Times New Roman"/>
                <w:bCs/>
                <w:spacing w:val="-2"/>
                <w:sz w:val="24"/>
              </w:rPr>
            </w:pPr>
            <w:bookmarkStart w:id="0" w:name="_Hlk169472926"/>
            <w:r w:rsidRPr="00525A18">
              <w:rPr>
                <w:rFonts w:ascii="Times New Roman" w:hAnsi="Times New Roman" w:cs="Times New Roman"/>
                <w:bCs/>
                <w:spacing w:val="-2"/>
                <w:sz w:val="24"/>
              </w:rPr>
              <w:t>Article 1.</w:t>
            </w:r>
            <w:r w:rsidRPr="00525A18">
              <w:rPr>
                <w:rFonts w:ascii="Times New Roman" w:hAnsi="Times New Roman" w:cs="Times New Roman"/>
                <w:bCs/>
                <w:spacing w:val="-2"/>
                <w:sz w:val="24"/>
              </w:rPr>
              <w:t xml:space="preserve">　</w:t>
            </w:r>
            <w:r w:rsidRPr="00525A18">
              <w:rPr>
                <w:rFonts w:ascii="Times New Roman" w:hAnsi="Times New Roman" w:cs="Times New Roman"/>
                <w:bCs/>
                <w:spacing w:val="-2"/>
                <w:sz w:val="24"/>
              </w:rPr>
              <w:t xml:space="preserve">To enhance academic standards and strengthen international </w:t>
            </w:r>
            <w:r w:rsidR="00EB568C" w:rsidRPr="00525A18">
              <w:rPr>
                <w:rFonts w:ascii="Times New Roman" w:hAnsi="Times New Roman" w:cs="Times New Roman"/>
                <w:bCs/>
                <w:spacing w:val="-2"/>
                <w:sz w:val="24"/>
              </w:rPr>
              <w:t>academic collaboration</w:t>
            </w:r>
            <w:r w:rsidRPr="00525A18">
              <w:rPr>
                <w:rFonts w:ascii="Times New Roman" w:eastAsiaTheme="minorEastAsia" w:hAnsi="Times New Roman" w:cs="Times New Roman"/>
                <w:bCs/>
                <w:spacing w:val="-2"/>
                <w:sz w:val="24"/>
              </w:rPr>
              <w:t xml:space="preserve"> </w:t>
            </w:r>
            <w:r w:rsidRPr="00525A18">
              <w:rPr>
                <w:rFonts w:ascii="Times New Roman" w:hAnsi="Times New Roman" w:cs="Times New Roman"/>
                <w:bCs/>
                <w:spacing w:val="-2"/>
                <w:sz w:val="24"/>
              </w:rPr>
              <w:t>and exchanges, Chung Yuan Christian University (hereinafter referred to as the University) has formulated regulations (hereinafter referred to as the Regulations) to encourage faculty members to engage in short-term research at foreign universities, research institutions, or professional organizations.</w:t>
            </w:r>
          </w:p>
          <w:p w14:paraId="46D0B5E6" w14:textId="77777777" w:rsidR="00E24AFD" w:rsidRPr="00525A18" w:rsidRDefault="00E24AFD" w:rsidP="00EB568C">
            <w:pPr>
              <w:pStyle w:val="TableParagraph"/>
              <w:spacing w:before="3"/>
              <w:ind w:left="119"/>
              <w:jc w:val="both"/>
              <w:rPr>
                <w:rFonts w:ascii="Times New Roman" w:hAnsi="Times New Roman" w:cs="Times New Roman"/>
                <w:sz w:val="24"/>
              </w:rPr>
            </w:pPr>
          </w:p>
        </w:tc>
      </w:tr>
      <w:tr w:rsidR="00E24AFD" w:rsidRPr="00525A18" w14:paraId="1F3AF13B" w14:textId="77777777" w:rsidTr="00EB568C">
        <w:trPr>
          <w:trHeight w:val="402"/>
        </w:trPr>
        <w:tc>
          <w:tcPr>
            <w:tcW w:w="9497" w:type="dxa"/>
            <w:gridSpan w:val="3"/>
            <w:vMerge/>
          </w:tcPr>
          <w:p w14:paraId="20DB7C44" w14:textId="77777777" w:rsidR="00E24AFD" w:rsidRPr="00525A18" w:rsidRDefault="00E24AFD" w:rsidP="00EB568C">
            <w:pPr>
              <w:pStyle w:val="TableParagraph"/>
              <w:spacing w:line="296" w:lineRule="exact"/>
              <w:ind w:left="119"/>
              <w:jc w:val="both"/>
              <w:rPr>
                <w:rFonts w:ascii="Times New Roman" w:hAnsi="Times New Roman" w:cs="Times New Roman"/>
                <w:sz w:val="24"/>
              </w:rPr>
            </w:pPr>
          </w:p>
        </w:tc>
      </w:tr>
      <w:tr w:rsidR="00E24AFD" w:rsidRPr="00525A18" w14:paraId="234F32AF" w14:textId="77777777" w:rsidTr="00EB568C">
        <w:trPr>
          <w:trHeight w:val="1118"/>
        </w:trPr>
        <w:tc>
          <w:tcPr>
            <w:tcW w:w="20" w:type="dxa"/>
          </w:tcPr>
          <w:p w14:paraId="4A0E3F56" w14:textId="7F9653F8" w:rsidR="00E24AFD" w:rsidRPr="00525A18" w:rsidRDefault="00E24AFD" w:rsidP="00EB568C">
            <w:pPr>
              <w:pStyle w:val="TableParagraph"/>
              <w:spacing w:before="78"/>
              <w:ind w:right="118"/>
              <w:jc w:val="both"/>
              <w:rPr>
                <w:rFonts w:ascii="Times New Roman" w:hAnsi="Times New Roman" w:cs="Times New Roman"/>
                <w:sz w:val="24"/>
              </w:rPr>
            </w:pPr>
          </w:p>
        </w:tc>
        <w:tc>
          <w:tcPr>
            <w:tcW w:w="9477" w:type="dxa"/>
            <w:gridSpan w:val="2"/>
          </w:tcPr>
          <w:p w14:paraId="5EA4FF75" w14:textId="725FD0F6" w:rsidR="00E24AFD" w:rsidRPr="00525A18" w:rsidRDefault="00E24AFD" w:rsidP="00EB568C">
            <w:pPr>
              <w:pStyle w:val="TableParagraph"/>
              <w:spacing w:before="3"/>
              <w:ind w:left="1190" w:hangingChars="500" w:hanging="1190"/>
              <w:jc w:val="both"/>
              <w:rPr>
                <w:rFonts w:ascii="Times New Roman" w:hAnsi="Times New Roman" w:cs="Times New Roman"/>
                <w:bCs/>
                <w:spacing w:val="-2"/>
                <w:sz w:val="24"/>
              </w:rPr>
            </w:pPr>
            <w:r w:rsidRPr="00525A18">
              <w:rPr>
                <w:rFonts w:ascii="Times New Roman" w:hAnsi="Times New Roman" w:cs="Times New Roman"/>
                <w:bCs/>
                <w:spacing w:val="-2"/>
                <w:sz w:val="24"/>
              </w:rPr>
              <w:t>Article 2.</w:t>
            </w:r>
            <w:r w:rsidRPr="00525A18">
              <w:rPr>
                <w:rFonts w:ascii="Times New Roman" w:hAnsi="Times New Roman" w:cs="Times New Roman"/>
                <w:bCs/>
                <w:spacing w:val="-2"/>
                <w:sz w:val="24"/>
              </w:rPr>
              <w:t xml:space="preserve">　</w:t>
            </w:r>
            <w:r w:rsidRPr="00525A18">
              <w:rPr>
                <w:rFonts w:ascii="Times New Roman" w:hAnsi="Times New Roman" w:cs="Times New Roman"/>
                <w:bCs/>
                <w:spacing w:val="-2"/>
                <w:sz w:val="24"/>
              </w:rPr>
              <w:t xml:space="preserve">Full-time faculty members at the University who have served for more than three years may apply for subsidies in accordance with the Regulations. The short-term research and studies abroad must occur during winter and summer breaks and last for at least 30 days. </w:t>
            </w:r>
          </w:p>
          <w:p w14:paraId="465CC10F" w14:textId="77777777" w:rsidR="00E24AFD" w:rsidRPr="00525A18" w:rsidRDefault="00E24AFD" w:rsidP="00EB568C">
            <w:pPr>
              <w:pStyle w:val="TableParagraph"/>
              <w:spacing w:before="3"/>
              <w:ind w:leftChars="500" w:left="1100"/>
              <w:jc w:val="both"/>
              <w:rPr>
                <w:rFonts w:ascii="Times New Roman" w:hAnsi="Times New Roman" w:cs="Times New Roman"/>
                <w:bCs/>
                <w:spacing w:val="-2"/>
                <w:sz w:val="24"/>
              </w:rPr>
            </w:pPr>
            <w:r w:rsidRPr="00525A18">
              <w:rPr>
                <w:rFonts w:ascii="Times New Roman" w:hAnsi="Times New Roman" w:cs="Times New Roman"/>
                <w:bCs/>
                <w:spacing w:val="-2"/>
                <w:sz w:val="24"/>
              </w:rPr>
              <w:t xml:space="preserve">Faculty members researching and studying abroad for fewer than 30 days do not </w:t>
            </w:r>
            <w:proofErr w:type="gramStart"/>
            <w:r w:rsidRPr="00525A18">
              <w:rPr>
                <w:rFonts w:ascii="Times New Roman" w:hAnsi="Times New Roman" w:cs="Times New Roman"/>
                <w:bCs/>
                <w:spacing w:val="-2"/>
                <w:sz w:val="24"/>
              </w:rPr>
              <w:t>qualify  for</w:t>
            </w:r>
            <w:proofErr w:type="gramEnd"/>
            <w:r w:rsidRPr="00525A18">
              <w:rPr>
                <w:rFonts w:ascii="Times New Roman" w:hAnsi="Times New Roman" w:cs="Times New Roman"/>
                <w:bCs/>
                <w:spacing w:val="-2"/>
                <w:sz w:val="24"/>
              </w:rPr>
              <w:t xml:space="preserve"> subsidies.</w:t>
            </w:r>
          </w:p>
          <w:p w14:paraId="722F8005" w14:textId="16409339" w:rsidR="00E24AFD" w:rsidRPr="00525A18" w:rsidRDefault="00E24AFD" w:rsidP="00EB568C">
            <w:pPr>
              <w:pStyle w:val="TableParagraph"/>
              <w:spacing w:before="3"/>
              <w:ind w:leftChars="500" w:left="1100"/>
              <w:jc w:val="both"/>
              <w:rPr>
                <w:rFonts w:ascii="Times New Roman" w:eastAsiaTheme="minorEastAsia" w:hAnsi="Times New Roman" w:cs="Times New Roman"/>
                <w:bCs/>
                <w:spacing w:val="-2"/>
                <w:sz w:val="24"/>
              </w:rPr>
            </w:pPr>
          </w:p>
        </w:tc>
      </w:tr>
      <w:bookmarkEnd w:id="0"/>
      <w:tr w:rsidR="00E24AFD" w:rsidRPr="00525A18" w14:paraId="40D2EF2F" w14:textId="77777777" w:rsidTr="00EB568C">
        <w:trPr>
          <w:trHeight w:val="717"/>
        </w:trPr>
        <w:tc>
          <w:tcPr>
            <w:tcW w:w="20" w:type="dxa"/>
          </w:tcPr>
          <w:p w14:paraId="79FC8882" w14:textId="77777777" w:rsidR="00E24AFD" w:rsidRPr="00525A18" w:rsidRDefault="00E24AFD" w:rsidP="00EB568C">
            <w:pPr>
              <w:pStyle w:val="TableParagraph"/>
              <w:jc w:val="both"/>
              <w:rPr>
                <w:rFonts w:ascii="Times New Roman" w:hAnsi="Times New Roman" w:cs="Times New Roman"/>
              </w:rPr>
            </w:pPr>
          </w:p>
        </w:tc>
        <w:tc>
          <w:tcPr>
            <w:tcW w:w="9477" w:type="dxa"/>
            <w:gridSpan w:val="2"/>
          </w:tcPr>
          <w:p w14:paraId="426E1CF3" w14:textId="1B7BB146" w:rsidR="00E24AFD" w:rsidRPr="00525A18" w:rsidRDefault="00E24AFD" w:rsidP="00EB568C">
            <w:pPr>
              <w:pStyle w:val="TableParagraph"/>
              <w:spacing w:before="4"/>
              <w:ind w:left="1106" w:hangingChars="461" w:hanging="1106"/>
              <w:jc w:val="both"/>
              <w:rPr>
                <w:rFonts w:ascii="Times New Roman" w:hAnsi="Times New Roman" w:cs="Times New Roman"/>
                <w:sz w:val="24"/>
              </w:rPr>
            </w:pPr>
            <w:r w:rsidRPr="00525A18">
              <w:rPr>
                <w:rFonts w:ascii="Times New Roman" w:hAnsi="Times New Roman" w:cs="Times New Roman"/>
                <w:sz w:val="24"/>
              </w:rPr>
              <w:t>Article 3.</w:t>
            </w:r>
            <w:r w:rsidRPr="00525A18">
              <w:rPr>
                <w:rFonts w:ascii="Times New Roman" w:hAnsi="Times New Roman" w:cs="Times New Roman"/>
                <w:sz w:val="24"/>
              </w:rPr>
              <w:t xml:space="preserve">　</w:t>
            </w:r>
            <w:r w:rsidRPr="00525A18">
              <w:rPr>
                <w:rFonts w:ascii="Times New Roman" w:hAnsi="Times New Roman" w:cs="Times New Roman"/>
                <w:sz w:val="24"/>
              </w:rPr>
              <w:t xml:space="preserve">Priority is given to first-time applicants for subsidies within the past five years. Applicants must submit an application form, a research plan, justifications for the necessity of research and further studies, the location of research and further studies, required fees, and a consent document from the overseas university or institution. Applicants who have received subsidies within the past five years must also submit the above-mentioned documents, as well as academic works, research papers, and research reports published during the last three years. The application must be recommended by the applicant's affiliated unit and undergo preliminary review by the respective College before being forwarded to the Research Promotion Committee for consideration. </w:t>
            </w:r>
          </w:p>
          <w:p w14:paraId="235CFE81" w14:textId="77777777" w:rsidR="00E24AFD" w:rsidRPr="00525A18" w:rsidRDefault="00E24AFD" w:rsidP="00EB568C">
            <w:pPr>
              <w:pStyle w:val="TableParagraph"/>
              <w:spacing w:before="4"/>
              <w:ind w:left="119"/>
              <w:jc w:val="both"/>
              <w:rPr>
                <w:rFonts w:ascii="Times New Roman" w:hAnsi="Times New Roman" w:cs="Times New Roman"/>
                <w:sz w:val="24"/>
              </w:rPr>
            </w:pPr>
          </w:p>
          <w:p w14:paraId="2BFEE058" w14:textId="77777777" w:rsidR="00E24AFD" w:rsidRPr="00525A18" w:rsidRDefault="00E24AFD" w:rsidP="00EB568C">
            <w:pPr>
              <w:pStyle w:val="TableParagraph"/>
              <w:spacing w:before="4"/>
              <w:ind w:leftChars="503" w:left="1107"/>
              <w:jc w:val="both"/>
              <w:rPr>
                <w:rFonts w:ascii="Times New Roman" w:hAnsi="Times New Roman" w:cs="Times New Roman"/>
                <w:sz w:val="24"/>
              </w:rPr>
            </w:pPr>
            <w:r w:rsidRPr="00525A18">
              <w:rPr>
                <w:rFonts w:ascii="Times New Roman" w:hAnsi="Times New Roman" w:cs="Times New Roman"/>
                <w:sz w:val="24"/>
              </w:rPr>
              <w:t>The total number of subsidy applications within the six years prior to the current year (excluding the current year) should not exceed three.</w:t>
            </w:r>
          </w:p>
          <w:p w14:paraId="7424BF7C" w14:textId="5FE6956A" w:rsidR="00E24AFD" w:rsidRPr="00525A18" w:rsidRDefault="00E24AFD" w:rsidP="00EB568C">
            <w:pPr>
              <w:pStyle w:val="TableParagraph"/>
              <w:spacing w:before="4"/>
              <w:ind w:left="119"/>
              <w:jc w:val="both"/>
              <w:rPr>
                <w:rFonts w:ascii="Times New Roman" w:eastAsiaTheme="minorEastAsia" w:hAnsi="Times New Roman" w:cs="Times New Roman"/>
                <w:sz w:val="24"/>
              </w:rPr>
            </w:pPr>
          </w:p>
        </w:tc>
      </w:tr>
      <w:tr w:rsidR="00E24AFD" w:rsidRPr="00525A18" w14:paraId="7BF3AB17" w14:textId="77777777" w:rsidTr="00EB568C">
        <w:trPr>
          <w:trHeight w:val="489"/>
        </w:trPr>
        <w:tc>
          <w:tcPr>
            <w:tcW w:w="20" w:type="dxa"/>
          </w:tcPr>
          <w:p w14:paraId="57EAA5C7" w14:textId="77777777" w:rsidR="00E24AFD" w:rsidRPr="00525A18" w:rsidRDefault="00E24AFD" w:rsidP="00EB568C">
            <w:pPr>
              <w:pStyle w:val="TableParagraph"/>
              <w:spacing w:before="76"/>
              <w:ind w:right="118"/>
              <w:jc w:val="both"/>
              <w:rPr>
                <w:rFonts w:ascii="Times New Roman" w:eastAsiaTheme="minorEastAsia" w:hAnsi="Times New Roman" w:cs="Times New Roman"/>
                <w:sz w:val="24"/>
              </w:rPr>
            </w:pPr>
          </w:p>
          <w:p w14:paraId="5679003F" w14:textId="1A3E024B" w:rsidR="00E24AFD" w:rsidRPr="00525A18" w:rsidRDefault="00E24AFD" w:rsidP="00EB568C">
            <w:pPr>
              <w:pStyle w:val="TableParagraph"/>
              <w:spacing w:before="76"/>
              <w:ind w:right="118"/>
              <w:jc w:val="both"/>
              <w:rPr>
                <w:rFonts w:ascii="Times New Roman" w:eastAsiaTheme="minorEastAsia" w:hAnsi="Times New Roman" w:cs="Times New Roman"/>
                <w:sz w:val="24"/>
              </w:rPr>
            </w:pPr>
          </w:p>
        </w:tc>
        <w:tc>
          <w:tcPr>
            <w:tcW w:w="9477" w:type="dxa"/>
            <w:gridSpan w:val="2"/>
          </w:tcPr>
          <w:p w14:paraId="00307275" w14:textId="4F2C4C6F" w:rsidR="00E24AFD" w:rsidRPr="00525A18" w:rsidRDefault="00E24AFD" w:rsidP="00EB568C">
            <w:pPr>
              <w:pStyle w:val="TableParagraph"/>
              <w:spacing w:before="4"/>
              <w:ind w:left="1106" w:hangingChars="461" w:hanging="1106"/>
              <w:jc w:val="both"/>
              <w:rPr>
                <w:rFonts w:ascii="Times New Roman" w:eastAsiaTheme="minorEastAsia" w:hAnsi="Times New Roman" w:cs="Times New Roman"/>
                <w:sz w:val="24"/>
              </w:rPr>
            </w:pPr>
            <w:r w:rsidRPr="00525A18">
              <w:rPr>
                <w:rFonts w:ascii="Times New Roman" w:hAnsi="Times New Roman" w:cs="Times New Roman"/>
                <w:sz w:val="24"/>
              </w:rPr>
              <w:t>Article 4.</w:t>
            </w:r>
            <w:r w:rsidRPr="00525A18">
              <w:rPr>
                <w:rFonts w:ascii="Times New Roman" w:hAnsi="Times New Roman" w:cs="Times New Roman"/>
                <w:sz w:val="24"/>
              </w:rPr>
              <w:t xml:space="preserve">　</w:t>
            </w:r>
            <w:r w:rsidRPr="00525A18">
              <w:rPr>
                <w:rFonts w:ascii="Times New Roman" w:hAnsi="Times New Roman" w:cs="Times New Roman"/>
                <w:sz w:val="24"/>
              </w:rPr>
              <w:t>Subsidies awarded per academic year are limited to six; typically, one person per academic unit may receive a subsidy.</w:t>
            </w:r>
          </w:p>
          <w:p w14:paraId="7B0B4F71" w14:textId="57EED363" w:rsidR="00E24AFD" w:rsidRPr="00525A18" w:rsidRDefault="00E24AFD" w:rsidP="00EB568C">
            <w:pPr>
              <w:pStyle w:val="TableParagraph"/>
              <w:spacing w:before="4"/>
              <w:jc w:val="both"/>
              <w:rPr>
                <w:rFonts w:ascii="Times New Roman" w:eastAsiaTheme="minorEastAsia" w:hAnsi="Times New Roman" w:cs="Times New Roman"/>
                <w:sz w:val="24"/>
              </w:rPr>
            </w:pPr>
          </w:p>
        </w:tc>
      </w:tr>
      <w:tr w:rsidR="00E24AFD" w:rsidRPr="00525A18" w14:paraId="467A8F34" w14:textId="77777777" w:rsidTr="00EB568C">
        <w:trPr>
          <w:trHeight w:val="402"/>
        </w:trPr>
        <w:tc>
          <w:tcPr>
            <w:tcW w:w="20" w:type="dxa"/>
          </w:tcPr>
          <w:p w14:paraId="27161644" w14:textId="77777777" w:rsidR="00E24AFD" w:rsidRPr="00525A18" w:rsidRDefault="00E24AFD" w:rsidP="00EB568C">
            <w:pPr>
              <w:pStyle w:val="TableParagraph"/>
              <w:jc w:val="both"/>
              <w:rPr>
                <w:rFonts w:ascii="Times New Roman" w:hAnsi="Times New Roman" w:cs="Times New Roman"/>
              </w:rPr>
            </w:pPr>
          </w:p>
        </w:tc>
        <w:tc>
          <w:tcPr>
            <w:tcW w:w="9477" w:type="dxa"/>
            <w:gridSpan w:val="2"/>
          </w:tcPr>
          <w:p w14:paraId="7F2B1E82" w14:textId="5B770D1D" w:rsidR="00E24AFD" w:rsidRPr="00525A18" w:rsidRDefault="00E24AFD" w:rsidP="00EB568C">
            <w:pPr>
              <w:pStyle w:val="TableParagraph"/>
              <w:spacing w:before="4"/>
              <w:ind w:left="1106" w:hangingChars="461" w:hanging="1106"/>
              <w:jc w:val="both"/>
              <w:rPr>
                <w:rFonts w:ascii="Times New Roman" w:hAnsi="Times New Roman" w:cs="Times New Roman"/>
                <w:sz w:val="24"/>
              </w:rPr>
            </w:pPr>
            <w:r w:rsidRPr="00525A18">
              <w:rPr>
                <w:rFonts w:ascii="Times New Roman" w:hAnsi="Times New Roman" w:cs="Times New Roman"/>
                <w:sz w:val="24"/>
              </w:rPr>
              <w:t>Article 5.</w:t>
            </w:r>
            <w:r w:rsidRPr="00525A18">
              <w:rPr>
                <w:rFonts w:ascii="Times New Roman" w:hAnsi="Times New Roman" w:cs="Times New Roman"/>
                <w:sz w:val="24"/>
              </w:rPr>
              <w:t xml:space="preserve">　</w:t>
            </w:r>
            <w:r w:rsidRPr="00525A18">
              <w:rPr>
                <w:rFonts w:ascii="Times New Roman" w:hAnsi="Times New Roman" w:cs="Times New Roman"/>
                <w:sz w:val="24"/>
              </w:rPr>
              <w:t>Subsidies are awarded based on the outcome of the review process. Funding is limited to the following items, with a maximum allowance of NT$100,000:</w:t>
            </w:r>
          </w:p>
          <w:p w14:paraId="343E658D" w14:textId="77777777" w:rsidR="00E24AFD" w:rsidRPr="00525A18" w:rsidRDefault="00E24AFD" w:rsidP="00EB568C">
            <w:pPr>
              <w:pStyle w:val="TableParagraph"/>
              <w:spacing w:before="4"/>
              <w:ind w:left="119"/>
              <w:jc w:val="both"/>
              <w:rPr>
                <w:rFonts w:ascii="Times New Roman" w:hAnsi="Times New Roman" w:cs="Times New Roman"/>
                <w:sz w:val="24"/>
              </w:rPr>
            </w:pPr>
          </w:p>
          <w:p w14:paraId="58CAA3AB" w14:textId="38C5066A" w:rsidR="00E24AFD" w:rsidRPr="00525A18" w:rsidRDefault="00E24AFD" w:rsidP="00EB568C">
            <w:pPr>
              <w:pStyle w:val="TableParagraph"/>
              <w:spacing w:before="4"/>
              <w:ind w:left="1391"/>
              <w:jc w:val="both"/>
              <w:rPr>
                <w:rFonts w:ascii="Times New Roman" w:hAnsi="Times New Roman" w:cs="Times New Roman"/>
                <w:sz w:val="24"/>
              </w:rPr>
            </w:pPr>
            <w:r w:rsidRPr="00525A18">
              <w:rPr>
                <w:rFonts w:ascii="Times New Roman" w:hAnsi="Times New Roman" w:cs="Times New Roman"/>
                <w:sz w:val="24"/>
              </w:rPr>
              <w:t>1.</w:t>
            </w:r>
            <w:r w:rsidRPr="00525A18">
              <w:rPr>
                <w:rFonts w:ascii="Times New Roman" w:hAnsi="Times New Roman" w:cs="Times New Roman"/>
                <w:sz w:val="24"/>
              </w:rPr>
              <w:t xml:space="preserve">　</w:t>
            </w:r>
            <w:r w:rsidRPr="00525A18">
              <w:rPr>
                <w:rFonts w:ascii="Times New Roman" w:hAnsi="Times New Roman" w:cs="Times New Roman"/>
                <w:sz w:val="24"/>
              </w:rPr>
              <w:t>Round-trip airfare (economy class standard seats (cabin) only).</w:t>
            </w:r>
          </w:p>
          <w:p w14:paraId="156107F2" w14:textId="2806D38B" w:rsidR="00E24AFD" w:rsidRPr="00525A18" w:rsidRDefault="00E24AFD" w:rsidP="00EB568C">
            <w:pPr>
              <w:pStyle w:val="TableParagraph"/>
              <w:spacing w:before="4"/>
              <w:ind w:leftChars="632" w:left="1815" w:hangingChars="177" w:hanging="425"/>
              <w:jc w:val="both"/>
              <w:rPr>
                <w:rFonts w:ascii="Times New Roman" w:eastAsiaTheme="minorEastAsia" w:hAnsi="Times New Roman" w:cs="Times New Roman"/>
                <w:sz w:val="24"/>
              </w:rPr>
            </w:pPr>
            <w:r w:rsidRPr="00525A18">
              <w:rPr>
                <w:rFonts w:ascii="Times New Roman" w:hAnsi="Times New Roman" w:cs="Times New Roman"/>
                <w:sz w:val="24"/>
              </w:rPr>
              <w:t>2.</w:t>
            </w:r>
            <w:r w:rsidRPr="00525A18">
              <w:rPr>
                <w:rFonts w:ascii="Times New Roman" w:hAnsi="Times New Roman" w:cs="Times New Roman"/>
                <w:sz w:val="24"/>
              </w:rPr>
              <w:t xml:space="preserve">　</w:t>
            </w:r>
            <w:r w:rsidRPr="00525A18">
              <w:rPr>
                <w:rFonts w:ascii="Times New Roman" w:hAnsi="Times New Roman" w:cs="Times New Roman"/>
                <w:sz w:val="24"/>
              </w:rPr>
              <w:t xml:space="preserve">Living expenses are calculated according to the monthly subsidy rates and </w:t>
            </w:r>
            <w:r w:rsidRPr="00525A18">
              <w:rPr>
                <w:rFonts w:ascii="Times New Roman" w:hAnsi="Times New Roman" w:cs="Times New Roman"/>
                <w:sz w:val="24"/>
              </w:rPr>
              <w:lastRenderedPageBreak/>
              <w:t>standards applicable to short-term research abroad for scientific and technical personnel, as approved by the National Science and Technology Council for the current year.</w:t>
            </w:r>
          </w:p>
        </w:tc>
      </w:tr>
      <w:tr w:rsidR="00E24AFD" w:rsidRPr="00525A18" w14:paraId="255425E8" w14:textId="77777777" w:rsidTr="00EB568C">
        <w:trPr>
          <w:gridAfter w:val="2"/>
          <w:wAfter w:w="9477" w:type="dxa"/>
          <w:trHeight w:val="312"/>
        </w:trPr>
        <w:tc>
          <w:tcPr>
            <w:tcW w:w="20" w:type="dxa"/>
          </w:tcPr>
          <w:p w14:paraId="55ECA4BE" w14:textId="77777777" w:rsidR="00E24AFD" w:rsidRPr="00525A18" w:rsidRDefault="00E24AFD" w:rsidP="00EB568C">
            <w:pPr>
              <w:pStyle w:val="TableParagraph"/>
              <w:jc w:val="both"/>
              <w:rPr>
                <w:rFonts w:ascii="Times New Roman" w:hAnsi="Times New Roman" w:cs="Times New Roman"/>
              </w:rPr>
            </w:pPr>
            <w:bookmarkStart w:id="1" w:name="_Hlk169510878"/>
          </w:p>
        </w:tc>
      </w:tr>
      <w:tr w:rsidR="00E24AFD" w:rsidRPr="00525A18" w14:paraId="0F19C08F" w14:textId="77777777" w:rsidTr="00EB568C">
        <w:trPr>
          <w:trHeight w:val="402"/>
        </w:trPr>
        <w:tc>
          <w:tcPr>
            <w:tcW w:w="20" w:type="dxa"/>
          </w:tcPr>
          <w:p w14:paraId="0CE82EC3" w14:textId="77777777" w:rsidR="00E24AFD" w:rsidRPr="00525A18" w:rsidRDefault="00E24AFD" w:rsidP="00EB568C">
            <w:pPr>
              <w:pStyle w:val="TableParagraph"/>
              <w:jc w:val="both"/>
              <w:rPr>
                <w:rFonts w:ascii="Times New Roman" w:hAnsi="Times New Roman" w:cs="Times New Roman"/>
              </w:rPr>
            </w:pPr>
          </w:p>
        </w:tc>
        <w:tc>
          <w:tcPr>
            <w:tcW w:w="9477" w:type="dxa"/>
            <w:gridSpan w:val="2"/>
          </w:tcPr>
          <w:p w14:paraId="4DA01C2A" w14:textId="4DB28C1C" w:rsidR="00E24AFD" w:rsidRPr="00525A18" w:rsidRDefault="00E24AFD" w:rsidP="00EB568C">
            <w:pPr>
              <w:pStyle w:val="TableParagraph"/>
              <w:spacing w:before="4"/>
              <w:ind w:leftChars="-9" w:left="1108" w:hangingChars="470" w:hanging="1128"/>
              <w:jc w:val="both"/>
              <w:rPr>
                <w:rFonts w:ascii="Times New Roman" w:hAnsi="Times New Roman" w:cs="Times New Roman"/>
                <w:sz w:val="24"/>
              </w:rPr>
            </w:pPr>
            <w:r w:rsidRPr="00525A18">
              <w:rPr>
                <w:rFonts w:ascii="Times New Roman" w:hAnsi="Times New Roman" w:cs="Times New Roman"/>
                <w:sz w:val="24"/>
              </w:rPr>
              <w:t>Article 6.</w:t>
            </w:r>
            <w:r w:rsidRPr="00525A18">
              <w:rPr>
                <w:rFonts w:ascii="Times New Roman" w:hAnsi="Times New Roman" w:cs="Times New Roman"/>
                <w:sz w:val="24"/>
              </w:rPr>
              <w:t xml:space="preserve">　</w:t>
            </w:r>
            <w:r w:rsidRPr="00525A18">
              <w:rPr>
                <w:rFonts w:ascii="Times New Roman" w:hAnsi="Times New Roman" w:cs="Times New Roman"/>
                <w:sz w:val="24"/>
              </w:rPr>
              <w:t>Faculty members receiving the subsidy must submit a report on their research and studies within 15 days after completing the period. The handling of subsidy funds and reimbursement shall follow the established regulations.</w:t>
            </w:r>
          </w:p>
          <w:p w14:paraId="12654EED" w14:textId="77777777" w:rsidR="00E24AFD" w:rsidRPr="00525A18" w:rsidRDefault="00E24AFD" w:rsidP="00EB568C">
            <w:pPr>
              <w:pStyle w:val="TableParagraph"/>
              <w:spacing w:before="4"/>
              <w:ind w:left="119"/>
              <w:jc w:val="both"/>
              <w:rPr>
                <w:rFonts w:ascii="Times New Roman" w:hAnsi="Times New Roman" w:cs="Times New Roman"/>
                <w:sz w:val="24"/>
              </w:rPr>
            </w:pPr>
          </w:p>
          <w:p w14:paraId="7C083D60" w14:textId="77777777" w:rsidR="00E24AFD" w:rsidRDefault="00E24AFD" w:rsidP="00EB568C">
            <w:pPr>
              <w:pStyle w:val="TableParagraph"/>
              <w:spacing w:before="4"/>
              <w:ind w:left="1107"/>
              <w:jc w:val="both"/>
              <w:rPr>
                <w:rFonts w:ascii="Times New Roman" w:eastAsiaTheme="minorEastAsia" w:hAnsi="Times New Roman" w:cs="Times New Roman"/>
                <w:sz w:val="24"/>
              </w:rPr>
            </w:pPr>
            <w:r w:rsidRPr="00525A18">
              <w:rPr>
                <w:rFonts w:ascii="Times New Roman" w:hAnsi="Times New Roman" w:cs="Times New Roman"/>
                <w:sz w:val="24"/>
              </w:rPr>
              <w:t>Non-compliance with the preceding provision will result in expenses not being reimbursed, and the individual will be ineligible to apply for subsidies for the next three years.</w:t>
            </w:r>
          </w:p>
          <w:p w14:paraId="42569833" w14:textId="5BEBB193" w:rsidR="00EB568C" w:rsidRPr="00EB568C" w:rsidRDefault="00EB568C" w:rsidP="00EB568C">
            <w:pPr>
              <w:pStyle w:val="TableParagraph"/>
              <w:spacing w:before="4"/>
              <w:ind w:left="1107"/>
              <w:jc w:val="both"/>
              <w:rPr>
                <w:rFonts w:ascii="Times New Roman" w:eastAsiaTheme="minorEastAsia" w:hAnsi="Times New Roman" w:cs="Times New Roman" w:hint="eastAsia"/>
                <w:sz w:val="24"/>
              </w:rPr>
            </w:pPr>
          </w:p>
        </w:tc>
      </w:tr>
      <w:bookmarkEnd w:id="1"/>
      <w:tr w:rsidR="00E24AFD" w:rsidRPr="00525A18" w14:paraId="01D296AA" w14:textId="77777777" w:rsidTr="00EB568C">
        <w:trPr>
          <w:trHeight w:val="403"/>
        </w:trPr>
        <w:tc>
          <w:tcPr>
            <w:tcW w:w="20" w:type="dxa"/>
          </w:tcPr>
          <w:p w14:paraId="591DF10C" w14:textId="77777777" w:rsidR="00E24AFD" w:rsidRPr="00525A18" w:rsidRDefault="00E24AFD" w:rsidP="00EB568C">
            <w:pPr>
              <w:pStyle w:val="TableParagraph"/>
              <w:jc w:val="both"/>
              <w:rPr>
                <w:rFonts w:ascii="Times New Roman" w:hAnsi="Times New Roman" w:cs="Times New Roman"/>
              </w:rPr>
            </w:pPr>
          </w:p>
        </w:tc>
        <w:tc>
          <w:tcPr>
            <w:tcW w:w="9477" w:type="dxa"/>
            <w:gridSpan w:val="2"/>
          </w:tcPr>
          <w:p w14:paraId="1E967B4B" w14:textId="48853709" w:rsidR="00E24AFD" w:rsidRPr="00525A18" w:rsidRDefault="00E24AFD" w:rsidP="00EB568C">
            <w:pPr>
              <w:pStyle w:val="TableParagraph"/>
              <w:spacing w:before="78" w:line="268" w:lineRule="exact"/>
              <w:ind w:leftChars="-9" w:left="1108" w:hangingChars="470" w:hanging="1128"/>
              <w:jc w:val="both"/>
              <w:rPr>
                <w:rFonts w:ascii="Times New Roman" w:hAnsi="Times New Roman" w:cs="Times New Roman"/>
                <w:sz w:val="24"/>
              </w:rPr>
            </w:pPr>
            <w:r w:rsidRPr="00525A18">
              <w:rPr>
                <w:rFonts w:ascii="Times New Roman" w:hAnsi="Times New Roman" w:cs="Times New Roman"/>
                <w:sz w:val="24"/>
              </w:rPr>
              <w:t>Article 7.</w:t>
            </w:r>
            <w:r w:rsidRPr="00525A18">
              <w:rPr>
                <w:rFonts w:ascii="Times New Roman" w:hAnsi="Times New Roman" w:cs="Times New Roman"/>
                <w:sz w:val="24"/>
              </w:rPr>
              <w:t xml:space="preserve">　</w:t>
            </w:r>
            <w:r w:rsidRPr="00525A18">
              <w:rPr>
                <w:rFonts w:ascii="Times New Roman" w:hAnsi="Times New Roman" w:cs="Times New Roman"/>
                <w:sz w:val="24"/>
              </w:rPr>
              <w:t>Faculty members who receive subsidies under the Regulations must return to serve at the University for one year following the conclusion of their research period. Failure to fulfill this obligation will result in the faculty member being required to repay the subsidy received proportionally for the unfulfilled period.</w:t>
            </w:r>
          </w:p>
          <w:p w14:paraId="6CB54986" w14:textId="77777777" w:rsidR="00E24AFD" w:rsidRPr="00525A18" w:rsidRDefault="00E24AFD" w:rsidP="00EB568C">
            <w:pPr>
              <w:pStyle w:val="TableParagraph"/>
              <w:spacing w:line="296" w:lineRule="exact"/>
              <w:ind w:left="119"/>
              <w:jc w:val="both"/>
              <w:rPr>
                <w:rFonts w:ascii="Times New Roman" w:hAnsi="Times New Roman" w:cs="Times New Roman"/>
                <w:sz w:val="24"/>
              </w:rPr>
            </w:pPr>
          </w:p>
        </w:tc>
      </w:tr>
      <w:tr w:rsidR="00E24AFD" w:rsidRPr="00525A18" w14:paraId="3772013E" w14:textId="77777777" w:rsidTr="00EB568C">
        <w:trPr>
          <w:trHeight w:val="493"/>
        </w:trPr>
        <w:tc>
          <w:tcPr>
            <w:tcW w:w="20" w:type="dxa"/>
          </w:tcPr>
          <w:p w14:paraId="46F76B4A" w14:textId="246BEABD" w:rsidR="00E24AFD" w:rsidRPr="00525A18" w:rsidRDefault="00E24AFD" w:rsidP="00EB568C">
            <w:pPr>
              <w:pStyle w:val="TableParagraph"/>
              <w:spacing w:before="79"/>
              <w:ind w:right="118"/>
              <w:jc w:val="both"/>
              <w:rPr>
                <w:rFonts w:ascii="Times New Roman" w:hAnsi="Times New Roman" w:cs="Times New Roman"/>
                <w:sz w:val="24"/>
              </w:rPr>
            </w:pPr>
          </w:p>
        </w:tc>
        <w:tc>
          <w:tcPr>
            <w:tcW w:w="9477" w:type="dxa"/>
            <w:gridSpan w:val="2"/>
          </w:tcPr>
          <w:p w14:paraId="239EB0E9" w14:textId="4E30CB09" w:rsidR="00E24AFD" w:rsidRPr="00525A18" w:rsidRDefault="00E24AFD" w:rsidP="00EB568C">
            <w:pPr>
              <w:pStyle w:val="TableParagraph"/>
              <w:spacing w:before="78" w:line="268" w:lineRule="exact"/>
              <w:ind w:leftChars="-9" w:left="1108" w:hangingChars="470" w:hanging="1128"/>
              <w:jc w:val="both"/>
              <w:rPr>
                <w:rFonts w:ascii="Times New Roman" w:hAnsi="Times New Roman" w:cs="Times New Roman"/>
                <w:sz w:val="24"/>
              </w:rPr>
            </w:pPr>
            <w:r w:rsidRPr="00525A18">
              <w:rPr>
                <w:rFonts w:ascii="Times New Roman" w:hAnsi="Times New Roman" w:cs="Times New Roman"/>
                <w:sz w:val="24"/>
              </w:rPr>
              <w:t>Article 8.</w:t>
            </w:r>
            <w:r w:rsidRPr="00525A18">
              <w:rPr>
                <w:rFonts w:ascii="Times New Roman" w:hAnsi="Times New Roman" w:cs="Times New Roman"/>
                <w:sz w:val="24"/>
              </w:rPr>
              <w:t xml:space="preserve">　</w:t>
            </w:r>
            <w:r w:rsidRPr="00525A18">
              <w:rPr>
                <w:rFonts w:ascii="Times New Roman" w:hAnsi="Times New Roman" w:cs="Times New Roman"/>
                <w:sz w:val="24"/>
              </w:rPr>
              <w:t>Faculty members applying for short-term research and further studies in mainland China are subject to the Regulations.</w:t>
            </w:r>
          </w:p>
          <w:p w14:paraId="1CDBCDC7" w14:textId="77777777" w:rsidR="00E24AFD" w:rsidRPr="00525A18" w:rsidRDefault="00E24AFD" w:rsidP="00EB568C">
            <w:pPr>
              <w:pStyle w:val="TableParagraph"/>
              <w:spacing w:before="79"/>
              <w:ind w:left="119"/>
              <w:jc w:val="both"/>
              <w:rPr>
                <w:rFonts w:ascii="Times New Roman" w:hAnsi="Times New Roman" w:cs="Times New Roman"/>
                <w:sz w:val="24"/>
              </w:rPr>
            </w:pPr>
          </w:p>
        </w:tc>
      </w:tr>
      <w:tr w:rsidR="00E24AFD" w:rsidRPr="00525A18" w14:paraId="6D121D4B" w14:textId="77777777" w:rsidTr="00EB568C">
        <w:trPr>
          <w:trHeight w:val="365"/>
        </w:trPr>
        <w:tc>
          <w:tcPr>
            <w:tcW w:w="20" w:type="dxa"/>
          </w:tcPr>
          <w:p w14:paraId="1FA67424" w14:textId="54383D9C" w:rsidR="00E24AFD" w:rsidRPr="00525A18" w:rsidRDefault="00E24AFD" w:rsidP="00EB568C">
            <w:pPr>
              <w:pStyle w:val="TableParagraph"/>
              <w:spacing w:before="78" w:line="268" w:lineRule="exact"/>
              <w:ind w:right="118"/>
              <w:jc w:val="both"/>
              <w:rPr>
                <w:rFonts w:ascii="Times New Roman" w:hAnsi="Times New Roman" w:cs="Times New Roman"/>
                <w:sz w:val="24"/>
              </w:rPr>
            </w:pPr>
          </w:p>
        </w:tc>
        <w:tc>
          <w:tcPr>
            <w:tcW w:w="9477" w:type="dxa"/>
            <w:gridSpan w:val="2"/>
          </w:tcPr>
          <w:p w14:paraId="4FC253B5" w14:textId="76BAF0BA" w:rsidR="00E24AFD" w:rsidRPr="00525A18" w:rsidRDefault="00E24AFD" w:rsidP="00EB568C">
            <w:pPr>
              <w:pStyle w:val="TableParagraph"/>
              <w:spacing w:before="78" w:line="268" w:lineRule="exact"/>
              <w:ind w:leftChars="-9" w:left="1108" w:hangingChars="470" w:hanging="1128"/>
              <w:jc w:val="both"/>
              <w:rPr>
                <w:rFonts w:ascii="Times New Roman" w:hAnsi="Times New Roman" w:cs="Times New Roman"/>
                <w:sz w:val="24"/>
              </w:rPr>
            </w:pPr>
            <w:r w:rsidRPr="00525A18">
              <w:rPr>
                <w:rFonts w:ascii="Times New Roman" w:hAnsi="Times New Roman" w:cs="Times New Roman"/>
                <w:sz w:val="24"/>
              </w:rPr>
              <w:t>Article 9.</w:t>
            </w:r>
            <w:r w:rsidRPr="00525A18">
              <w:rPr>
                <w:rFonts w:ascii="Times New Roman" w:hAnsi="Times New Roman" w:cs="Times New Roman"/>
                <w:sz w:val="24"/>
              </w:rPr>
              <w:t xml:space="preserve">　</w:t>
            </w:r>
            <w:r w:rsidRPr="00525A18">
              <w:rPr>
                <w:rFonts w:ascii="Times New Roman" w:hAnsi="Times New Roman" w:cs="Times New Roman"/>
                <w:sz w:val="24"/>
              </w:rPr>
              <w:t>Upon approval by the Administrative Meeting, the Regulations shall be submitted to the President for promulgation and implementation. The same procedure applies to amendments.</w:t>
            </w:r>
          </w:p>
        </w:tc>
      </w:tr>
    </w:tbl>
    <w:p w14:paraId="6AFABE94" w14:textId="77777777" w:rsidR="00612AC9" w:rsidRPr="00525A18" w:rsidRDefault="00612AC9">
      <w:pPr>
        <w:spacing w:line="268" w:lineRule="exact"/>
        <w:rPr>
          <w:rFonts w:ascii="Times New Roman" w:hAnsi="Times New Roman" w:cs="Times New Roman"/>
          <w:sz w:val="24"/>
        </w:rPr>
        <w:sectPr w:rsidR="00612AC9" w:rsidRPr="00525A18" w:rsidSect="00E24AFD">
          <w:type w:val="continuous"/>
          <w:pgSz w:w="11910" w:h="16840"/>
          <w:pgMar w:top="1440" w:right="1080" w:bottom="1440" w:left="1080" w:header="720" w:footer="720" w:gutter="0"/>
          <w:cols w:space="720"/>
          <w:docGrid w:linePitch="299"/>
        </w:sectPr>
      </w:pPr>
    </w:p>
    <w:p w14:paraId="631F9C31" w14:textId="17D9B6D5" w:rsidR="0087125A" w:rsidRPr="00525A18" w:rsidRDefault="0087125A" w:rsidP="00336594">
      <w:pPr>
        <w:pStyle w:val="Web"/>
        <w:jc w:val="center"/>
        <w:rPr>
          <w:rFonts w:eastAsia="Microsoft YaHei UI"/>
          <w:b/>
          <w:sz w:val="32"/>
          <w:szCs w:val="32"/>
        </w:rPr>
      </w:pPr>
      <w:r w:rsidRPr="00525A18">
        <w:rPr>
          <w:rFonts w:eastAsia="Microsoft YaHei UI"/>
          <w:b/>
          <w:sz w:val="32"/>
          <w:szCs w:val="32"/>
        </w:rPr>
        <w:lastRenderedPageBreak/>
        <w:t>Subsidy Reimbursement Items and Standards for Short-Term Research Abroad for Scientific and Technical Personnel of the National Science and Technology Council, Executive Yuan</w:t>
      </w:r>
    </w:p>
    <w:p w14:paraId="628B5A06" w14:textId="77777777" w:rsidR="0087125A" w:rsidRPr="00525A18" w:rsidRDefault="0087125A" w:rsidP="0087125A">
      <w:pPr>
        <w:pStyle w:val="TableParagraph"/>
        <w:spacing w:before="4"/>
        <w:ind w:left="119"/>
        <w:rPr>
          <w:rFonts w:ascii="Times New Roman" w:hAnsi="Times New Roman" w:cs="Times New Roman"/>
          <w:sz w:val="24"/>
        </w:rPr>
      </w:pPr>
    </w:p>
    <w:p w14:paraId="264D1230" w14:textId="43A7349D" w:rsidR="00336594" w:rsidRPr="00525A18" w:rsidRDefault="00336594" w:rsidP="00525A18">
      <w:pPr>
        <w:pStyle w:val="a3"/>
        <w:tabs>
          <w:tab w:val="left" w:pos="2700"/>
        </w:tabs>
        <w:spacing w:line="290" w:lineRule="exact"/>
        <w:ind w:right="304"/>
        <w:jc w:val="right"/>
        <w:rPr>
          <w:rFonts w:ascii="Times New Roman" w:hAnsi="Times New Roman" w:cs="Times New Roman"/>
          <w:sz w:val="18"/>
          <w:szCs w:val="18"/>
        </w:rPr>
      </w:pPr>
      <w:r w:rsidRPr="00525A18">
        <w:rPr>
          <w:rFonts w:ascii="Times New Roman" w:hAnsi="Times New Roman" w:cs="Times New Roman"/>
          <w:sz w:val="18"/>
          <w:szCs w:val="18"/>
        </w:rPr>
        <w:t>Amended on October 22, 2013</w:t>
      </w:r>
      <w:r w:rsidR="00455B69" w:rsidRPr="00525A18">
        <w:rPr>
          <w:rFonts w:ascii="Times New Roman" w:hAnsi="Times New Roman" w:cs="Times New Roman"/>
          <w:sz w:val="18"/>
          <w:szCs w:val="18"/>
        </w:rPr>
        <w:t>;</w:t>
      </w:r>
      <w:r w:rsidRPr="00525A18">
        <w:rPr>
          <w:rFonts w:ascii="Times New Roman" w:hAnsi="Times New Roman" w:cs="Times New Roman"/>
          <w:sz w:val="18"/>
          <w:szCs w:val="18"/>
        </w:rPr>
        <w:t xml:space="preserve"> Effective </w:t>
      </w:r>
      <w:r w:rsidR="00455B69" w:rsidRPr="00525A18">
        <w:rPr>
          <w:rFonts w:ascii="Times New Roman" w:hAnsi="Times New Roman" w:cs="Times New Roman"/>
          <w:sz w:val="18"/>
          <w:szCs w:val="18"/>
        </w:rPr>
        <w:t>on</w:t>
      </w:r>
      <w:r w:rsidRPr="00525A18">
        <w:rPr>
          <w:rFonts w:ascii="Times New Roman" w:hAnsi="Times New Roman" w:cs="Times New Roman"/>
          <w:sz w:val="18"/>
          <w:szCs w:val="18"/>
        </w:rPr>
        <w:t xml:space="preserve"> January 1, 2014</w:t>
      </w:r>
    </w:p>
    <w:p w14:paraId="009A4EB2" w14:textId="77777777" w:rsidR="00525A18" w:rsidRPr="00525A18" w:rsidRDefault="00525A18" w:rsidP="00525A18">
      <w:pPr>
        <w:pStyle w:val="a3"/>
        <w:tabs>
          <w:tab w:val="left" w:pos="2700"/>
        </w:tabs>
        <w:spacing w:line="290" w:lineRule="exact"/>
        <w:ind w:right="304"/>
        <w:jc w:val="right"/>
        <w:rPr>
          <w:rFonts w:ascii="Times New Roman" w:eastAsiaTheme="minorEastAsia" w:hAnsi="Times New Roman" w:cs="Times New Roman"/>
          <w:sz w:val="18"/>
          <w:szCs w:val="18"/>
        </w:rPr>
      </w:pPr>
    </w:p>
    <w:p w14:paraId="6F1DBB9D" w14:textId="77777777" w:rsidR="00CC6EDD" w:rsidRPr="00525A18" w:rsidRDefault="00CC6EDD" w:rsidP="00CC6EDD">
      <w:pPr>
        <w:pStyle w:val="a3"/>
        <w:tabs>
          <w:tab w:val="left" w:pos="2700"/>
        </w:tabs>
        <w:spacing w:line="290" w:lineRule="exact"/>
        <w:ind w:right="304"/>
        <w:jc w:val="right"/>
        <w:rPr>
          <w:rFonts w:ascii="Times New Roman" w:hAnsi="Times New Roman" w:cs="Times New Roman"/>
        </w:rPr>
      </w:pPr>
      <w:r w:rsidRPr="00525A18">
        <w:rPr>
          <w:rFonts w:ascii="Times New Roman" w:hAnsi="Times New Roman" w:cs="Times New Roman"/>
        </w:rPr>
        <w:t>Unit: USD</w:t>
      </w:r>
    </w:p>
    <w:p w14:paraId="7D7D15F3" w14:textId="77777777" w:rsidR="00CC6EDD" w:rsidRPr="00525A18" w:rsidRDefault="00CC6EDD">
      <w:pPr>
        <w:pStyle w:val="a3"/>
        <w:spacing w:before="4" w:after="17"/>
        <w:ind w:right="931"/>
        <w:jc w:val="right"/>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1134"/>
        <w:gridCol w:w="1276"/>
        <w:gridCol w:w="5954"/>
      </w:tblGrid>
      <w:tr w:rsidR="00612AC9" w:rsidRPr="00525A18" w14:paraId="1D61C822" w14:textId="77777777" w:rsidTr="00EB568C">
        <w:trPr>
          <w:trHeight w:val="414"/>
        </w:trPr>
        <w:tc>
          <w:tcPr>
            <w:tcW w:w="1586" w:type="dxa"/>
            <w:vAlign w:val="center"/>
          </w:tcPr>
          <w:p w14:paraId="69AF4C22" w14:textId="38EBB603" w:rsidR="00CC6EDD" w:rsidRPr="00525A18" w:rsidRDefault="00B01E5E" w:rsidP="00E24AFD">
            <w:pPr>
              <w:pStyle w:val="TableParagraph"/>
              <w:tabs>
                <w:tab w:val="left" w:pos="720"/>
              </w:tabs>
              <w:spacing w:before="38"/>
              <w:ind w:right="226"/>
              <w:jc w:val="center"/>
              <w:rPr>
                <w:rFonts w:ascii="Times New Roman" w:hAnsi="Times New Roman" w:cs="Times New Roman"/>
                <w:sz w:val="24"/>
              </w:rPr>
            </w:pPr>
            <w:r w:rsidRPr="00525A18">
              <w:rPr>
                <w:rFonts w:ascii="Times New Roman" w:hAnsi="Times New Roman" w:cs="Times New Roman"/>
                <w:sz w:val="24"/>
              </w:rPr>
              <w:t>Item</w:t>
            </w:r>
          </w:p>
        </w:tc>
        <w:tc>
          <w:tcPr>
            <w:tcW w:w="2410" w:type="dxa"/>
            <w:gridSpan w:val="2"/>
            <w:vAlign w:val="center"/>
          </w:tcPr>
          <w:p w14:paraId="0508AF3D" w14:textId="334337F1" w:rsidR="00CC6EDD" w:rsidRPr="00525A18" w:rsidRDefault="001E253D" w:rsidP="00E24AFD">
            <w:pPr>
              <w:pStyle w:val="TableParagraph"/>
              <w:tabs>
                <w:tab w:val="left" w:pos="720"/>
              </w:tabs>
              <w:spacing w:before="38"/>
              <w:ind w:right="226"/>
              <w:jc w:val="center"/>
              <w:rPr>
                <w:rFonts w:ascii="Times New Roman" w:eastAsiaTheme="minorEastAsia" w:hAnsi="Times New Roman" w:cs="Times New Roman"/>
                <w:sz w:val="24"/>
              </w:rPr>
            </w:pPr>
            <w:r w:rsidRPr="00525A18">
              <w:rPr>
                <w:rFonts w:ascii="Times New Roman" w:hAnsi="Times New Roman" w:cs="Times New Roman"/>
                <w:sz w:val="24"/>
              </w:rPr>
              <w:t>Amount</w:t>
            </w:r>
          </w:p>
        </w:tc>
        <w:tc>
          <w:tcPr>
            <w:tcW w:w="5954" w:type="dxa"/>
            <w:vAlign w:val="center"/>
          </w:tcPr>
          <w:p w14:paraId="59D83FBE" w14:textId="1C64997C" w:rsidR="00CC6EDD" w:rsidRPr="00525A18" w:rsidRDefault="001E253D" w:rsidP="00E24AFD">
            <w:pPr>
              <w:pStyle w:val="TableParagraph"/>
              <w:tabs>
                <w:tab w:val="left" w:pos="720"/>
              </w:tabs>
              <w:spacing w:before="38"/>
              <w:ind w:right="226"/>
              <w:jc w:val="center"/>
              <w:rPr>
                <w:rFonts w:ascii="Times New Roman" w:hAnsi="Times New Roman" w:cs="Times New Roman"/>
              </w:rPr>
            </w:pPr>
            <w:r w:rsidRPr="00525A18">
              <w:rPr>
                <w:rFonts w:ascii="Times New Roman" w:hAnsi="Times New Roman" w:cs="Times New Roman"/>
                <w:sz w:val="24"/>
              </w:rPr>
              <w:t>Remarks</w:t>
            </w:r>
          </w:p>
          <w:p w14:paraId="58124F7D" w14:textId="77777777" w:rsidR="00CC6EDD" w:rsidRPr="00525A18" w:rsidRDefault="00CC6EDD" w:rsidP="00E24AFD">
            <w:pPr>
              <w:jc w:val="center"/>
              <w:rPr>
                <w:rFonts w:ascii="Times New Roman" w:hAnsi="Times New Roman" w:cs="Times New Roman"/>
              </w:rPr>
            </w:pPr>
          </w:p>
          <w:p w14:paraId="39376671" w14:textId="34C5F2C4" w:rsidR="00CC6EDD" w:rsidRPr="00525A18" w:rsidRDefault="004763D5" w:rsidP="00E24AFD">
            <w:pPr>
              <w:pStyle w:val="a7"/>
              <w:jc w:val="center"/>
              <w:rPr>
                <w:rFonts w:ascii="Times New Roman" w:hAnsi="Times New Roman" w:cs="Times New Roman"/>
              </w:rPr>
            </w:pPr>
            <w:r w:rsidRPr="00525A18">
              <w:rPr>
                <w:rFonts w:ascii="Times New Roman" w:hAnsi="Times New Roman" w:cs="Times New Roman"/>
              </w:rPr>
              <w:t>End of full text</w:t>
            </w:r>
          </w:p>
        </w:tc>
      </w:tr>
      <w:tr w:rsidR="00612AC9" w:rsidRPr="00525A18" w14:paraId="0B6F1A39" w14:textId="77777777" w:rsidTr="00EB568C">
        <w:trPr>
          <w:trHeight w:val="793"/>
        </w:trPr>
        <w:tc>
          <w:tcPr>
            <w:tcW w:w="1586" w:type="dxa"/>
            <w:vMerge w:val="restart"/>
            <w:vAlign w:val="center"/>
          </w:tcPr>
          <w:p w14:paraId="31234859" w14:textId="24961A1E" w:rsidR="001E253D" w:rsidRPr="00525A18" w:rsidRDefault="001E253D" w:rsidP="00525A18">
            <w:pPr>
              <w:pStyle w:val="TableParagraph"/>
              <w:jc w:val="center"/>
              <w:rPr>
                <w:rFonts w:ascii="Times New Roman" w:eastAsiaTheme="minorEastAsia" w:hAnsi="Times New Roman" w:cs="Times New Roman"/>
              </w:rPr>
            </w:pPr>
            <w:r w:rsidRPr="00525A18">
              <w:rPr>
                <w:rFonts w:ascii="Times New Roman" w:hAnsi="Times New Roman" w:cs="Times New Roman"/>
              </w:rPr>
              <w:t>Monthly living</w:t>
            </w:r>
            <w:r w:rsidR="00455B69" w:rsidRPr="00525A18">
              <w:rPr>
                <w:rFonts w:ascii="Times New Roman" w:hAnsi="Times New Roman" w:cs="Times New Roman"/>
              </w:rPr>
              <w:t xml:space="preserve"> expense</w:t>
            </w:r>
            <w:r w:rsidRPr="00525A18">
              <w:rPr>
                <w:rFonts w:ascii="Times New Roman" w:hAnsi="Times New Roman" w:cs="Times New Roman"/>
              </w:rPr>
              <w:t xml:space="preserve"> </w:t>
            </w:r>
            <w:r w:rsidR="00AE15B9" w:rsidRPr="00525A18">
              <w:rPr>
                <w:rFonts w:ascii="Times New Roman" w:hAnsi="Times New Roman" w:cs="Times New Roman"/>
              </w:rPr>
              <w:t>allowance</w:t>
            </w:r>
          </w:p>
        </w:tc>
        <w:tc>
          <w:tcPr>
            <w:tcW w:w="1134" w:type="dxa"/>
            <w:vAlign w:val="center"/>
          </w:tcPr>
          <w:p w14:paraId="319B5C25" w14:textId="2D74B4C9" w:rsidR="001E253D" w:rsidRPr="00EB568C" w:rsidRDefault="001E253D" w:rsidP="00525A18">
            <w:pPr>
              <w:pStyle w:val="TableParagraph"/>
              <w:ind w:left="28"/>
              <w:jc w:val="both"/>
              <w:rPr>
                <w:rFonts w:ascii="Times New Roman" w:eastAsiaTheme="minorEastAsia" w:hAnsi="Times New Roman" w:cs="Times New Roman"/>
                <w:sz w:val="18"/>
                <w:szCs w:val="24"/>
              </w:rPr>
            </w:pPr>
            <w:r w:rsidRPr="00EB568C">
              <w:rPr>
                <w:rFonts w:ascii="Times New Roman" w:hAnsi="Times New Roman" w:cs="Times New Roman"/>
                <w:sz w:val="18"/>
                <w:szCs w:val="24"/>
              </w:rPr>
              <w:t xml:space="preserve">Daily </w:t>
            </w:r>
            <w:r w:rsidR="00455B69" w:rsidRPr="00EB568C">
              <w:rPr>
                <w:rFonts w:ascii="Times New Roman" w:hAnsi="Times New Roman" w:cs="Times New Roman"/>
                <w:sz w:val="18"/>
                <w:szCs w:val="24"/>
              </w:rPr>
              <w:t>allowance</w:t>
            </w:r>
            <w:r w:rsidRPr="00EB568C">
              <w:rPr>
                <w:rFonts w:ascii="Times New Roman" w:hAnsi="Times New Roman" w:cs="Times New Roman"/>
                <w:sz w:val="18"/>
                <w:szCs w:val="24"/>
              </w:rPr>
              <w:t xml:space="preserve"> range</w:t>
            </w:r>
          </w:p>
        </w:tc>
        <w:tc>
          <w:tcPr>
            <w:tcW w:w="1276" w:type="dxa"/>
            <w:vAlign w:val="center"/>
          </w:tcPr>
          <w:p w14:paraId="302ABACE" w14:textId="066F7B67" w:rsidR="001E253D" w:rsidRPr="00EB568C" w:rsidRDefault="001E253D" w:rsidP="00525A18">
            <w:pPr>
              <w:pStyle w:val="TableParagraph"/>
              <w:ind w:left="28"/>
              <w:jc w:val="both"/>
              <w:rPr>
                <w:rFonts w:ascii="Times New Roman" w:hAnsi="Times New Roman" w:cs="Times New Roman"/>
                <w:sz w:val="18"/>
                <w:szCs w:val="24"/>
              </w:rPr>
            </w:pPr>
            <w:r w:rsidRPr="00EB568C">
              <w:rPr>
                <w:rFonts w:ascii="Times New Roman" w:hAnsi="Times New Roman" w:cs="Times New Roman"/>
                <w:sz w:val="18"/>
                <w:szCs w:val="24"/>
              </w:rPr>
              <w:t>Monthly</w:t>
            </w:r>
            <w:r w:rsidR="00EB568C">
              <w:rPr>
                <w:rFonts w:asciiTheme="minorEastAsia" w:eastAsiaTheme="minorEastAsia" w:hAnsiTheme="minorEastAsia" w:cs="Times New Roman" w:hint="eastAsia"/>
                <w:sz w:val="18"/>
                <w:szCs w:val="24"/>
              </w:rPr>
              <w:t xml:space="preserve"> </w:t>
            </w:r>
            <w:r w:rsidRPr="00EB568C">
              <w:rPr>
                <w:rFonts w:ascii="Times New Roman" w:hAnsi="Times New Roman" w:cs="Times New Roman"/>
                <w:sz w:val="18"/>
                <w:szCs w:val="24"/>
              </w:rPr>
              <w:t xml:space="preserve">living </w:t>
            </w:r>
            <w:r w:rsidR="00455B69" w:rsidRPr="00EB568C">
              <w:rPr>
                <w:rFonts w:ascii="Times New Roman" w:hAnsi="Times New Roman" w:cs="Times New Roman"/>
                <w:sz w:val="18"/>
                <w:szCs w:val="24"/>
              </w:rPr>
              <w:t xml:space="preserve">expense </w:t>
            </w:r>
            <w:r w:rsidR="00326897" w:rsidRPr="00EB568C">
              <w:rPr>
                <w:rFonts w:ascii="Times New Roman" w:hAnsi="Times New Roman" w:cs="Times New Roman"/>
                <w:sz w:val="18"/>
                <w:szCs w:val="24"/>
              </w:rPr>
              <w:t>allowance</w:t>
            </w:r>
          </w:p>
        </w:tc>
        <w:tc>
          <w:tcPr>
            <w:tcW w:w="5954" w:type="dxa"/>
            <w:vMerge w:val="restart"/>
            <w:vAlign w:val="center"/>
          </w:tcPr>
          <w:p w14:paraId="35DAD4CB" w14:textId="40A1DA9F" w:rsidR="00AB5395" w:rsidRPr="00525A18" w:rsidRDefault="00101AF2" w:rsidP="00525A18">
            <w:pPr>
              <w:pStyle w:val="TableParagraph"/>
              <w:spacing w:before="11" w:line="280" w:lineRule="auto"/>
              <w:ind w:leftChars="15" w:left="340" w:right="15" w:hangingChars="128" w:hanging="307"/>
              <w:jc w:val="both"/>
              <w:rPr>
                <w:rFonts w:ascii="Times New Roman" w:hAnsi="Times New Roman" w:cs="Times New Roman"/>
                <w:sz w:val="24"/>
                <w:szCs w:val="24"/>
              </w:rPr>
            </w:pPr>
            <w:r w:rsidRPr="00525A18">
              <w:rPr>
                <w:rFonts w:ascii="Times New Roman" w:hAnsi="Times New Roman" w:cs="Times New Roman"/>
                <w:sz w:val="24"/>
                <w:szCs w:val="24"/>
              </w:rPr>
              <w:t xml:space="preserve">1. </w:t>
            </w:r>
            <w:r w:rsidR="00581AD9" w:rsidRPr="00525A18">
              <w:rPr>
                <w:rFonts w:ascii="Times New Roman" w:hAnsi="Times New Roman" w:cs="Times New Roman"/>
                <w:sz w:val="24"/>
                <w:szCs w:val="24"/>
              </w:rPr>
              <w:t xml:space="preserve">For stays abroad (calculated according to the calendar) of </w:t>
            </w:r>
            <w:r w:rsidR="00203F8F" w:rsidRPr="00525A18">
              <w:rPr>
                <w:rFonts w:ascii="Times New Roman" w:hAnsi="Times New Roman" w:cs="Times New Roman"/>
                <w:sz w:val="24"/>
                <w:szCs w:val="24"/>
              </w:rPr>
              <w:t xml:space="preserve">fewer </w:t>
            </w:r>
            <w:r w:rsidR="00581AD9" w:rsidRPr="00525A18">
              <w:rPr>
                <w:rFonts w:ascii="Times New Roman" w:hAnsi="Times New Roman" w:cs="Times New Roman"/>
                <w:sz w:val="24"/>
                <w:szCs w:val="24"/>
              </w:rPr>
              <w:t xml:space="preserve">than </w:t>
            </w:r>
            <w:r w:rsidR="00203F8F" w:rsidRPr="00525A18">
              <w:rPr>
                <w:rFonts w:ascii="Times New Roman" w:hAnsi="Times New Roman" w:cs="Times New Roman"/>
                <w:sz w:val="24"/>
                <w:szCs w:val="24"/>
              </w:rPr>
              <w:t xml:space="preserve">15 </w:t>
            </w:r>
            <w:r w:rsidR="00581AD9" w:rsidRPr="00525A18">
              <w:rPr>
                <w:rFonts w:ascii="Times New Roman" w:hAnsi="Times New Roman" w:cs="Times New Roman"/>
                <w:sz w:val="24"/>
                <w:szCs w:val="24"/>
              </w:rPr>
              <w:t xml:space="preserve">days, daily expenses are fully reimbursed according to the "Overseas Business Travel Reimbursement Table of the Central Government" (referred to as the Daily Reimbursement Table) separately issued by the Executive Yuan, as specified in Point 7 of Item 1 of the Directives for Reimbursement of Overseas Business Travel Expenses. </w:t>
            </w:r>
            <w:r w:rsidR="00AB5395" w:rsidRPr="00525A18">
              <w:rPr>
                <w:rFonts w:ascii="Times New Roman" w:hAnsi="Times New Roman" w:cs="Times New Roman"/>
                <w:sz w:val="24"/>
                <w:szCs w:val="24"/>
              </w:rPr>
              <w:t xml:space="preserve">However, if </w:t>
            </w:r>
            <w:r w:rsidR="00F97128" w:rsidRPr="00525A18">
              <w:rPr>
                <w:rFonts w:ascii="Times New Roman" w:hAnsi="Times New Roman" w:cs="Times New Roman"/>
                <w:sz w:val="24"/>
                <w:szCs w:val="24"/>
              </w:rPr>
              <w:t xml:space="preserve">lodging </w:t>
            </w:r>
            <w:r w:rsidR="00AB5395" w:rsidRPr="00525A18">
              <w:rPr>
                <w:rFonts w:ascii="Times New Roman" w:hAnsi="Times New Roman" w:cs="Times New Roman"/>
                <w:sz w:val="24"/>
                <w:szCs w:val="24"/>
              </w:rPr>
              <w:t xml:space="preserve">and meals are provided, reimbursement will be reduced by 90%. If only </w:t>
            </w:r>
            <w:r w:rsidR="00F97128" w:rsidRPr="00525A18">
              <w:rPr>
                <w:rFonts w:ascii="Times New Roman" w:hAnsi="Times New Roman" w:cs="Times New Roman"/>
                <w:sz w:val="24"/>
                <w:szCs w:val="24"/>
              </w:rPr>
              <w:t xml:space="preserve">lodging </w:t>
            </w:r>
            <w:r w:rsidR="00AB5395" w:rsidRPr="00525A18">
              <w:rPr>
                <w:rFonts w:ascii="Times New Roman" w:hAnsi="Times New Roman" w:cs="Times New Roman"/>
                <w:sz w:val="24"/>
                <w:szCs w:val="24"/>
              </w:rPr>
              <w:t>or only meals are provided, reimbursement will be reduced by 70% or 20%, respectively, from the original amount.</w:t>
            </w:r>
          </w:p>
          <w:p w14:paraId="7306064E" w14:textId="77777777" w:rsidR="00AB5395" w:rsidRPr="00525A18" w:rsidRDefault="00AB5395" w:rsidP="00525A18">
            <w:pPr>
              <w:pStyle w:val="TableParagraph"/>
              <w:spacing w:before="11" w:line="280" w:lineRule="auto"/>
              <w:ind w:left="32" w:right="15"/>
              <w:jc w:val="both"/>
              <w:rPr>
                <w:rFonts w:ascii="Times New Roman" w:hAnsi="Times New Roman" w:cs="Times New Roman"/>
                <w:sz w:val="24"/>
                <w:szCs w:val="24"/>
              </w:rPr>
            </w:pPr>
          </w:p>
          <w:p w14:paraId="4D3A66AE" w14:textId="625078B1" w:rsidR="00352474" w:rsidRPr="00525A18" w:rsidRDefault="001E253D" w:rsidP="00525A18">
            <w:pPr>
              <w:pStyle w:val="TableParagraph"/>
              <w:spacing w:before="11" w:line="280" w:lineRule="auto"/>
              <w:ind w:leftChars="15" w:left="340" w:right="15" w:hangingChars="128" w:hanging="307"/>
              <w:jc w:val="both"/>
              <w:rPr>
                <w:rFonts w:ascii="Times New Roman" w:hAnsi="Times New Roman" w:cs="Times New Roman"/>
                <w:sz w:val="24"/>
              </w:rPr>
            </w:pPr>
            <w:r w:rsidRPr="00525A18">
              <w:rPr>
                <w:rFonts w:ascii="Times New Roman" w:hAnsi="Times New Roman" w:cs="Times New Roman"/>
                <w:sz w:val="24"/>
              </w:rPr>
              <w:t xml:space="preserve">2. </w:t>
            </w:r>
            <w:r w:rsidR="00352474" w:rsidRPr="00525A18">
              <w:rPr>
                <w:rFonts w:ascii="Times New Roman" w:hAnsi="Times New Roman" w:cs="Times New Roman"/>
                <w:sz w:val="24"/>
              </w:rPr>
              <w:t xml:space="preserve">For stays </w:t>
            </w:r>
            <w:r w:rsidR="00F97128" w:rsidRPr="00525A18">
              <w:rPr>
                <w:rFonts w:ascii="Times New Roman" w:hAnsi="Times New Roman" w:cs="Times New Roman"/>
                <w:sz w:val="24"/>
              </w:rPr>
              <w:t xml:space="preserve">abroad </w:t>
            </w:r>
            <w:r w:rsidR="00352474" w:rsidRPr="00525A18">
              <w:rPr>
                <w:rFonts w:ascii="Times New Roman" w:hAnsi="Times New Roman" w:cs="Times New Roman"/>
                <w:sz w:val="24"/>
              </w:rPr>
              <w:t xml:space="preserve">exceeding </w:t>
            </w:r>
            <w:r w:rsidR="00203F8F" w:rsidRPr="00525A18">
              <w:rPr>
                <w:rFonts w:ascii="Times New Roman" w:hAnsi="Times New Roman" w:cs="Times New Roman"/>
                <w:sz w:val="24"/>
              </w:rPr>
              <w:t>15</w:t>
            </w:r>
            <w:r w:rsidR="00352474" w:rsidRPr="00525A18">
              <w:rPr>
                <w:rFonts w:ascii="Times New Roman" w:hAnsi="Times New Roman" w:cs="Times New Roman"/>
                <w:sz w:val="24"/>
              </w:rPr>
              <w:t xml:space="preserve"> days, reimbursement for days beyond the initial </w:t>
            </w:r>
            <w:r w:rsidR="00203F8F" w:rsidRPr="00525A18">
              <w:rPr>
                <w:rFonts w:ascii="Times New Roman" w:hAnsi="Times New Roman" w:cs="Times New Roman"/>
                <w:sz w:val="24"/>
              </w:rPr>
              <w:t xml:space="preserve">15 </w:t>
            </w:r>
            <w:r w:rsidR="00352474" w:rsidRPr="00525A18">
              <w:rPr>
                <w:rFonts w:ascii="Times New Roman" w:hAnsi="Times New Roman" w:cs="Times New Roman"/>
                <w:sz w:val="24"/>
              </w:rPr>
              <w:t xml:space="preserve">will be based on the daily allowance for cities listed in the Daily Reimbursement Table, provided according to the categories listed on the left side of the table. From the 16th to the 30th day, the daily allowance is one-twentieth of the amount on the left side of the table. Starting from the 31st day onwards, monthly reimbursement will be paid according to the amount on the left side of the table. For days less than a full month, one-thirtieth of the amount on the left side of the table will be paid daily. However, if </w:t>
            </w:r>
            <w:r w:rsidR="00F97128" w:rsidRPr="00525A18">
              <w:rPr>
                <w:rFonts w:ascii="Times New Roman" w:hAnsi="Times New Roman" w:cs="Times New Roman"/>
                <w:sz w:val="24"/>
              </w:rPr>
              <w:t xml:space="preserve">lodging </w:t>
            </w:r>
            <w:r w:rsidR="00352474" w:rsidRPr="00525A18">
              <w:rPr>
                <w:rFonts w:ascii="Times New Roman" w:hAnsi="Times New Roman" w:cs="Times New Roman"/>
                <w:sz w:val="24"/>
              </w:rPr>
              <w:t xml:space="preserve">and meals are provided, reimbursement will be reduced by 70%. If only </w:t>
            </w:r>
            <w:r w:rsidR="00F97128" w:rsidRPr="00525A18">
              <w:rPr>
                <w:rFonts w:ascii="Times New Roman" w:hAnsi="Times New Roman" w:cs="Times New Roman"/>
                <w:sz w:val="24"/>
              </w:rPr>
              <w:t xml:space="preserve">lodging </w:t>
            </w:r>
            <w:r w:rsidR="00352474" w:rsidRPr="00525A18">
              <w:rPr>
                <w:rFonts w:ascii="Times New Roman" w:hAnsi="Times New Roman" w:cs="Times New Roman"/>
                <w:sz w:val="24"/>
              </w:rPr>
              <w:t>or only meals are provided, reimbursement will be reduced by 60% or 10%, respectively, from the original amount.</w:t>
            </w:r>
          </w:p>
          <w:p w14:paraId="01062346" w14:textId="77777777" w:rsidR="00101AF2" w:rsidRPr="00525A18" w:rsidRDefault="00101AF2" w:rsidP="00525A18">
            <w:pPr>
              <w:pStyle w:val="TableParagraph"/>
              <w:spacing w:before="11" w:line="280" w:lineRule="auto"/>
              <w:ind w:right="15"/>
              <w:jc w:val="both"/>
              <w:rPr>
                <w:rFonts w:ascii="Times New Roman" w:hAnsi="Times New Roman" w:cs="Times New Roman"/>
                <w:sz w:val="24"/>
              </w:rPr>
            </w:pPr>
          </w:p>
          <w:p w14:paraId="0F386FA7" w14:textId="15D6DC46" w:rsidR="00F97128" w:rsidRPr="00525A18" w:rsidRDefault="003E6778" w:rsidP="00525A18">
            <w:pPr>
              <w:shd w:val="clear" w:color="auto" w:fill="FDFDFD"/>
              <w:ind w:left="341" w:hangingChars="142" w:hanging="341"/>
              <w:jc w:val="both"/>
              <w:rPr>
                <w:rFonts w:ascii="Times New Roman" w:hAnsi="Times New Roman" w:cs="Times New Roman"/>
                <w:sz w:val="24"/>
              </w:rPr>
            </w:pPr>
            <w:r w:rsidRPr="00525A18">
              <w:rPr>
                <w:rFonts w:ascii="Times New Roman" w:hAnsi="Times New Roman" w:cs="Times New Roman"/>
                <w:sz w:val="24"/>
              </w:rPr>
              <w:t>3.</w:t>
            </w:r>
            <w:r w:rsidR="000746EE" w:rsidRPr="00525A18">
              <w:rPr>
                <w:rFonts w:ascii="Times New Roman" w:hAnsi="Times New Roman" w:cs="Times New Roman"/>
                <w:sz w:val="24"/>
              </w:rPr>
              <w:t xml:space="preserve"> </w:t>
            </w:r>
            <w:r w:rsidR="00F97128" w:rsidRPr="00525A18">
              <w:rPr>
                <w:rFonts w:ascii="Times New Roman" w:hAnsi="Times New Roman" w:cs="Times New Roman"/>
                <w:sz w:val="24"/>
              </w:rPr>
              <w:t>The lodging specified in the preceding two points includes free dormitories, transit hotels, overnight stays on transportation vehicles, and the day of return to the country.</w:t>
            </w:r>
          </w:p>
          <w:p w14:paraId="0134A424" w14:textId="77777777" w:rsidR="00F97128" w:rsidRPr="00525A18" w:rsidRDefault="00F97128" w:rsidP="00525A18">
            <w:pPr>
              <w:shd w:val="clear" w:color="auto" w:fill="FDFDFD"/>
              <w:jc w:val="both"/>
              <w:rPr>
                <w:rFonts w:ascii="Times New Roman" w:hAnsi="Times New Roman" w:cs="Times New Roman"/>
                <w:sz w:val="24"/>
              </w:rPr>
            </w:pPr>
          </w:p>
          <w:p w14:paraId="46D0AD84" w14:textId="77777777" w:rsidR="00CC6EDD" w:rsidRPr="00525A18" w:rsidRDefault="001E253D" w:rsidP="00525A18">
            <w:pPr>
              <w:shd w:val="clear" w:color="auto" w:fill="FDFDFD"/>
              <w:ind w:left="341" w:hangingChars="142" w:hanging="341"/>
              <w:jc w:val="both"/>
              <w:rPr>
                <w:rFonts w:ascii="Times New Roman" w:hAnsi="Times New Roman" w:cs="Times New Roman"/>
                <w:sz w:val="24"/>
              </w:rPr>
            </w:pPr>
            <w:r w:rsidRPr="00525A18">
              <w:rPr>
                <w:rFonts w:ascii="Times New Roman" w:hAnsi="Times New Roman" w:cs="Times New Roman"/>
                <w:sz w:val="24"/>
              </w:rPr>
              <w:lastRenderedPageBreak/>
              <w:t xml:space="preserve">4. </w:t>
            </w:r>
            <w:r w:rsidR="00815820" w:rsidRPr="00525A18">
              <w:rPr>
                <w:rFonts w:ascii="Times New Roman" w:hAnsi="Times New Roman" w:cs="Times New Roman"/>
                <w:sz w:val="24"/>
              </w:rPr>
              <w:t>Personnel engaged in overseas stud</w:t>
            </w:r>
            <w:r w:rsidR="00203F8F" w:rsidRPr="00525A18">
              <w:rPr>
                <w:rFonts w:ascii="Times New Roman" w:hAnsi="Times New Roman" w:cs="Times New Roman"/>
                <w:sz w:val="24"/>
              </w:rPr>
              <w:t>ies</w:t>
            </w:r>
            <w:r w:rsidR="00815820" w:rsidRPr="00525A18">
              <w:rPr>
                <w:rFonts w:ascii="Times New Roman" w:hAnsi="Times New Roman" w:cs="Times New Roman"/>
                <w:sz w:val="24"/>
              </w:rPr>
              <w:t xml:space="preserve">, research, and internships are not eligible to claim administrative fees specified in </w:t>
            </w:r>
            <w:r w:rsidR="00F97128" w:rsidRPr="00525A18">
              <w:rPr>
                <w:rFonts w:ascii="Times New Roman" w:hAnsi="Times New Roman" w:cs="Times New Roman"/>
                <w:sz w:val="24"/>
              </w:rPr>
              <w:t>P</w:t>
            </w:r>
            <w:r w:rsidR="00815820" w:rsidRPr="00525A18">
              <w:rPr>
                <w:rFonts w:ascii="Times New Roman" w:hAnsi="Times New Roman" w:cs="Times New Roman"/>
                <w:sz w:val="24"/>
              </w:rPr>
              <w:t>oints 15, 16, and 17 of the "Directives for Reimbursement of Overseas Business Travel Expenses" (except for the application fee and registration fee), as well as gifts, social expenses, and other miscellaneous expenses.</w:t>
            </w:r>
          </w:p>
          <w:p w14:paraId="041096A0" w14:textId="07FB17E7" w:rsidR="00525A18" w:rsidRPr="00525A18" w:rsidRDefault="00525A18" w:rsidP="00525A18">
            <w:pPr>
              <w:shd w:val="clear" w:color="auto" w:fill="FDFDFD"/>
              <w:ind w:left="341" w:hangingChars="142" w:hanging="341"/>
              <w:jc w:val="both"/>
              <w:rPr>
                <w:rFonts w:ascii="Times New Roman" w:eastAsiaTheme="minorEastAsia" w:hAnsi="Times New Roman" w:cs="Times New Roman"/>
                <w:sz w:val="24"/>
              </w:rPr>
            </w:pPr>
          </w:p>
        </w:tc>
      </w:tr>
      <w:tr w:rsidR="00612AC9" w:rsidRPr="00525A18" w14:paraId="714F4673" w14:textId="77777777" w:rsidTr="00EB568C">
        <w:trPr>
          <w:trHeight w:val="793"/>
        </w:trPr>
        <w:tc>
          <w:tcPr>
            <w:tcW w:w="1586" w:type="dxa"/>
            <w:vMerge/>
            <w:tcBorders>
              <w:top w:val="nil"/>
            </w:tcBorders>
          </w:tcPr>
          <w:p w14:paraId="404DA29F" w14:textId="77777777" w:rsidR="00612AC9" w:rsidRPr="00525A18" w:rsidRDefault="00612AC9">
            <w:pPr>
              <w:rPr>
                <w:rFonts w:ascii="Times New Roman" w:hAnsi="Times New Roman" w:cs="Times New Roman"/>
                <w:sz w:val="2"/>
                <w:szCs w:val="2"/>
              </w:rPr>
            </w:pPr>
          </w:p>
        </w:tc>
        <w:tc>
          <w:tcPr>
            <w:tcW w:w="1134" w:type="dxa"/>
            <w:vAlign w:val="center"/>
          </w:tcPr>
          <w:p w14:paraId="7D648427" w14:textId="6262A4B7" w:rsidR="001E253D" w:rsidRPr="00525A18" w:rsidRDefault="001E253D" w:rsidP="00525A18">
            <w:pPr>
              <w:pStyle w:val="TableParagraph"/>
              <w:ind w:left="28"/>
              <w:jc w:val="center"/>
              <w:rPr>
                <w:rFonts w:ascii="Times New Roman" w:hAnsi="Times New Roman" w:cs="Times New Roman"/>
              </w:rPr>
            </w:pPr>
            <w:r w:rsidRPr="00525A18">
              <w:rPr>
                <w:rFonts w:ascii="Times New Roman" w:hAnsi="Times New Roman" w:cs="Times New Roman"/>
              </w:rPr>
              <w:t>290 and above</w:t>
            </w:r>
          </w:p>
        </w:tc>
        <w:tc>
          <w:tcPr>
            <w:tcW w:w="1276" w:type="dxa"/>
            <w:vAlign w:val="center"/>
          </w:tcPr>
          <w:p w14:paraId="5F1EAFD1" w14:textId="77777777" w:rsidR="00612AC9" w:rsidRPr="00525A18" w:rsidRDefault="00525A18" w:rsidP="00525A18">
            <w:pPr>
              <w:pStyle w:val="TableParagraph"/>
              <w:ind w:right="116"/>
              <w:jc w:val="center"/>
              <w:rPr>
                <w:rFonts w:ascii="Times New Roman" w:hAnsi="Times New Roman" w:cs="Times New Roman"/>
                <w:sz w:val="24"/>
              </w:rPr>
            </w:pPr>
            <w:r w:rsidRPr="00525A18">
              <w:rPr>
                <w:rFonts w:ascii="Times New Roman" w:hAnsi="Times New Roman" w:cs="Times New Roman"/>
                <w:sz w:val="24"/>
              </w:rPr>
              <w:t>1,400</w:t>
            </w:r>
          </w:p>
        </w:tc>
        <w:tc>
          <w:tcPr>
            <w:tcW w:w="5954" w:type="dxa"/>
            <w:vMerge/>
            <w:tcBorders>
              <w:top w:val="nil"/>
            </w:tcBorders>
          </w:tcPr>
          <w:p w14:paraId="374BC848" w14:textId="77777777" w:rsidR="00612AC9" w:rsidRPr="00525A18" w:rsidRDefault="00612AC9">
            <w:pPr>
              <w:rPr>
                <w:rFonts w:ascii="Times New Roman" w:hAnsi="Times New Roman" w:cs="Times New Roman"/>
                <w:sz w:val="2"/>
                <w:szCs w:val="2"/>
              </w:rPr>
            </w:pPr>
          </w:p>
        </w:tc>
      </w:tr>
      <w:tr w:rsidR="00612AC9" w:rsidRPr="00525A18" w14:paraId="41DD1E17" w14:textId="77777777" w:rsidTr="00EB568C">
        <w:trPr>
          <w:trHeight w:val="794"/>
        </w:trPr>
        <w:tc>
          <w:tcPr>
            <w:tcW w:w="1586" w:type="dxa"/>
            <w:vMerge/>
            <w:tcBorders>
              <w:top w:val="nil"/>
            </w:tcBorders>
          </w:tcPr>
          <w:p w14:paraId="094E90E2" w14:textId="77777777" w:rsidR="00612AC9" w:rsidRPr="00525A18" w:rsidRDefault="00612AC9">
            <w:pPr>
              <w:rPr>
                <w:rFonts w:ascii="Times New Roman" w:hAnsi="Times New Roman" w:cs="Times New Roman"/>
                <w:sz w:val="2"/>
                <w:szCs w:val="2"/>
              </w:rPr>
            </w:pPr>
          </w:p>
        </w:tc>
        <w:tc>
          <w:tcPr>
            <w:tcW w:w="1134" w:type="dxa"/>
            <w:vAlign w:val="center"/>
          </w:tcPr>
          <w:p w14:paraId="2618DF2E" w14:textId="77777777" w:rsidR="00612AC9" w:rsidRPr="00525A18" w:rsidRDefault="00612AC9" w:rsidP="00525A18">
            <w:pPr>
              <w:pStyle w:val="TableParagraph"/>
              <w:spacing w:before="12"/>
              <w:jc w:val="center"/>
              <w:rPr>
                <w:rFonts w:ascii="Times New Roman" w:hAnsi="Times New Roman" w:cs="Times New Roman"/>
                <w:sz w:val="19"/>
              </w:rPr>
            </w:pPr>
          </w:p>
          <w:p w14:paraId="2336C094" w14:textId="27BBFA66" w:rsidR="00612AC9" w:rsidRPr="00525A18" w:rsidRDefault="00525A18" w:rsidP="00525A18">
            <w:pPr>
              <w:pStyle w:val="TableParagraph"/>
              <w:ind w:left="80"/>
              <w:jc w:val="center"/>
              <w:rPr>
                <w:rFonts w:ascii="Times New Roman" w:hAnsi="Times New Roman" w:cs="Times New Roman"/>
                <w:sz w:val="24"/>
              </w:rPr>
            </w:pPr>
            <w:r w:rsidRPr="00525A18">
              <w:rPr>
                <w:rFonts w:ascii="Times New Roman" w:hAnsi="Times New Roman" w:cs="Times New Roman"/>
                <w:sz w:val="24"/>
              </w:rPr>
              <w:t>250</w:t>
            </w:r>
            <w:r w:rsidR="00732E36" w:rsidRPr="00525A18">
              <w:rPr>
                <w:rFonts w:ascii="Times New Roman" w:hAnsi="Times New Roman" w:cs="Times New Roman"/>
                <w:sz w:val="24"/>
              </w:rPr>
              <w:t>–</w:t>
            </w:r>
            <w:r w:rsidRPr="00525A18">
              <w:rPr>
                <w:rFonts w:ascii="Times New Roman" w:hAnsi="Times New Roman" w:cs="Times New Roman"/>
                <w:sz w:val="24"/>
              </w:rPr>
              <w:t>289</w:t>
            </w:r>
          </w:p>
        </w:tc>
        <w:tc>
          <w:tcPr>
            <w:tcW w:w="1276" w:type="dxa"/>
            <w:vAlign w:val="center"/>
          </w:tcPr>
          <w:p w14:paraId="78573D00" w14:textId="77777777" w:rsidR="00612AC9" w:rsidRPr="00525A18" w:rsidRDefault="00525A18" w:rsidP="00525A18">
            <w:pPr>
              <w:pStyle w:val="TableParagraph"/>
              <w:ind w:right="116"/>
              <w:jc w:val="center"/>
              <w:rPr>
                <w:rFonts w:ascii="Times New Roman" w:hAnsi="Times New Roman" w:cs="Times New Roman"/>
                <w:sz w:val="24"/>
              </w:rPr>
            </w:pPr>
            <w:r w:rsidRPr="00525A18">
              <w:rPr>
                <w:rFonts w:ascii="Times New Roman" w:hAnsi="Times New Roman" w:cs="Times New Roman"/>
                <w:sz w:val="24"/>
              </w:rPr>
              <w:t>1,300</w:t>
            </w:r>
          </w:p>
        </w:tc>
        <w:tc>
          <w:tcPr>
            <w:tcW w:w="5954" w:type="dxa"/>
            <w:vMerge/>
            <w:tcBorders>
              <w:top w:val="nil"/>
            </w:tcBorders>
          </w:tcPr>
          <w:p w14:paraId="45CC18B8" w14:textId="77777777" w:rsidR="00612AC9" w:rsidRPr="00525A18" w:rsidRDefault="00612AC9">
            <w:pPr>
              <w:rPr>
                <w:rFonts w:ascii="Times New Roman" w:hAnsi="Times New Roman" w:cs="Times New Roman"/>
                <w:sz w:val="2"/>
                <w:szCs w:val="2"/>
              </w:rPr>
            </w:pPr>
          </w:p>
        </w:tc>
      </w:tr>
      <w:tr w:rsidR="00612AC9" w:rsidRPr="00525A18" w14:paraId="7C02BFE4" w14:textId="77777777" w:rsidTr="00EB568C">
        <w:trPr>
          <w:trHeight w:val="793"/>
        </w:trPr>
        <w:tc>
          <w:tcPr>
            <w:tcW w:w="1586" w:type="dxa"/>
            <w:vMerge/>
            <w:tcBorders>
              <w:top w:val="nil"/>
            </w:tcBorders>
          </w:tcPr>
          <w:p w14:paraId="5AD82AA0" w14:textId="77777777" w:rsidR="00612AC9" w:rsidRPr="00525A18" w:rsidRDefault="00612AC9">
            <w:pPr>
              <w:rPr>
                <w:rFonts w:ascii="Times New Roman" w:hAnsi="Times New Roman" w:cs="Times New Roman"/>
                <w:sz w:val="2"/>
                <w:szCs w:val="2"/>
              </w:rPr>
            </w:pPr>
          </w:p>
        </w:tc>
        <w:tc>
          <w:tcPr>
            <w:tcW w:w="1134" w:type="dxa"/>
            <w:vAlign w:val="center"/>
          </w:tcPr>
          <w:p w14:paraId="31E826E6" w14:textId="77777777" w:rsidR="00612AC9" w:rsidRPr="00525A18" w:rsidRDefault="00612AC9" w:rsidP="00525A18">
            <w:pPr>
              <w:pStyle w:val="TableParagraph"/>
              <w:spacing w:before="12"/>
              <w:jc w:val="center"/>
              <w:rPr>
                <w:rFonts w:ascii="Times New Roman" w:hAnsi="Times New Roman" w:cs="Times New Roman"/>
                <w:sz w:val="19"/>
              </w:rPr>
            </w:pPr>
          </w:p>
          <w:p w14:paraId="3229192D" w14:textId="7181DEDD" w:rsidR="00612AC9" w:rsidRPr="00525A18" w:rsidRDefault="00525A18" w:rsidP="00525A18">
            <w:pPr>
              <w:pStyle w:val="TableParagraph"/>
              <w:ind w:left="80"/>
              <w:jc w:val="center"/>
              <w:rPr>
                <w:rFonts w:ascii="Times New Roman" w:hAnsi="Times New Roman" w:cs="Times New Roman"/>
                <w:sz w:val="24"/>
              </w:rPr>
            </w:pPr>
            <w:r w:rsidRPr="00525A18">
              <w:rPr>
                <w:rFonts w:ascii="Times New Roman" w:hAnsi="Times New Roman" w:cs="Times New Roman"/>
                <w:sz w:val="24"/>
              </w:rPr>
              <w:t>210</w:t>
            </w:r>
            <w:r w:rsidR="00732E36" w:rsidRPr="00525A18">
              <w:rPr>
                <w:rFonts w:ascii="Times New Roman" w:hAnsi="Times New Roman" w:cs="Times New Roman"/>
                <w:sz w:val="24"/>
              </w:rPr>
              <w:t>–</w:t>
            </w:r>
            <w:r w:rsidRPr="00525A18">
              <w:rPr>
                <w:rFonts w:ascii="Times New Roman" w:hAnsi="Times New Roman" w:cs="Times New Roman"/>
                <w:sz w:val="24"/>
              </w:rPr>
              <w:t>249</w:t>
            </w:r>
          </w:p>
        </w:tc>
        <w:tc>
          <w:tcPr>
            <w:tcW w:w="1276" w:type="dxa"/>
            <w:vAlign w:val="center"/>
          </w:tcPr>
          <w:p w14:paraId="6DB7A218" w14:textId="77777777" w:rsidR="00612AC9" w:rsidRPr="00525A18" w:rsidRDefault="00525A18" w:rsidP="00525A18">
            <w:pPr>
              <w:pStyle w:val="TableParagraph"/>
              <w:spacing w:before="75"/>
              <w:ind w:left="130" w:right="116"/>
              <w:jc w:val="center"/>
              <w:rPr>
                <w:rFonts w:ascii="Times New Roman" w:hAnsi="Times New Roman" w:cs="Times New Roman"/>
                <w:sz w:val="24"/>
              </w:rPr>
            </w:pPr>
            <w:r w:rsidRPr="00525A18">
              <w:rPr>
                <w:rFonts w:ascii="Times New Roman" w:hAnsi="Times New Roman" w:cs="Times New Roman"/>
                <w:sz w:val="24"/>
              </w:rPr>
              <w:t>1,200</w:t>
            </w:r>
          </w:p>
        </w:tc>
        <w:tc>
          <w:tcPr>
            <w:tcW w:w="5954" w:type="dxa"/>
            <w:vMerge/>
            <w:tcBorders>
              <w:top w:val="nil"/>
            </w:tcBorders>
          </w:tcPr>
          <w:p w14:paraId="38D26F40" w14:textId="77777777" w:rsidR="00612AC9" w:rsidRPr="00525A18" w:rsidRDefault="00612AC9">
            <w:pPr>
              <w:rPr>
                <w:rFonts w:ascii="Times New Roman" w:hAnsi="Times New Roman" w:cs="Times New Roman"/>
                <w:sz w:val="2"/>
                <w:szCs w:val="2"/>
              </w:rPr>
            </w:pPr>
          </w:p>
        </w:tc>
      </w:tr>
      <w:tr w:rsidR="00612AC9" w:rsidRPr="00525A18" w14:paraId="408C0E6A" w14:textId="77777777" w:rsidTr="00EB568C">
        <w:trPr>
          <w:trHeight w:val="794"/>
        </w:trPr>
        <w:tc>
          <w:tcPr>
            <w:tcW w:w="1586" w:type="dxa"/>
            <w:vMerge/>
            <w:tcBorders>
              <w:top w:val="nil"/>
            </w:tcBorders>
          </w:tcPr>
          <w:p w14:paraId="10887F46" w14:textId="77777777" w:rsidR="00612AC9" w:rsidRPr="00525A18" w:rsidRDefault="00612AC9">
            <w:pPr>
              <w:rPr>
                <w:rFonts w:ascii="Times New Roman" w:hAnsi="Times New Roman" w:cs="Times New Roman"/>
                <w:sz w:val="2"/>
                <w:szCs w:val="2"/>
              </w:rPr>
            </w:pPr>
          </w:p>
        </w:tc>
        <w:tc>
          <w:tcPr>
            <w:tcW w:w="1134" w:type="dxa"/>
            <w:vAlign w:val="center"/>
          </w:tcPr>
          <w:p w14:paraId="5F875434" w14:textId="77777777" w:rsidR="00612AC9" w:rsidRPr="00525A18" w:rsidRDefault="00612AC9" w:rsidP="00525A18">
            <w:pPr>
              <w:pStyle w:val="TableParagraph"/>
              <w:spacing w:before="12"/>
              <w:jc w:val="center"/>
              <w:rPr>
                <w:rFonts w:ascii="Times New Roman" w:hAnsi="Times New Roman" w:cs="Times New Roman"/>
                <w:sz w:val="19"/>
              </w:rPr>
            </w:pPr>
          </w:p>
          <w:p w14:paraId="65B63C6F" w14:textId="1E4FACE3" w:rsidR="00612AC9" w:rsidRPr="00525A18" w:rsidRDefault="00525A18" w:rsidP="00525A18">
            <w:pPr>
              <w:pStyle w:val="TableParagraph"/>
              <w:ind w:left="80"/>
              <w:jc w:val="center"/>
              <w:rPr>
                <w:rFonts w:ascii="Times New Roman" w:hAnsi="Times New Roman" w:cs="Times New Roman"/>
                <w:sz w:val="24"/>
              </w:rPr>
            </w:pPr>
            <w:r w:rsidRPr="00525A18">
              <w:rPr>
                <w:rFonts w:ascii="Times New Roman" w:hAnsi="Times New Roman" w:cs="Times New Roman"/>
                <w:sz w:val="24"/>
              </w:rPr>
              <w:t>170</w:t>
            </w:r>
            <w:r w:rsidR="00732E36" w:rsidRPr="00525A18">
              <w:rPr>
                <w:rFonts w:ascii="Times New Roman" w:hAnsi="Times New Roman" w:cs="Times New Roman"/>
                <w:sz w:val="24"/>
              </w:rPr>
              <w:t>–</w:t>
            </w:r>
            <w:r w:rsidRPr="00525A18">
              <w:rPr>
                <w:rFonts w:ascii="Times New Roman" w:hAnsi="Times New Roman" w:cs="Times New Roman"/>
                <w:sz w:val="24"/>
              </w:rPr>
              <w:t>209</w:t>
            </w:r>
          </w:p>
        </w:tc>
        <w:tc>
          <w:tcPr>
            <w:tcW w:w="1276" w:type="dxa"/>
            <w:vAlign w:val="center"/>
          </w:tcPr>
          <w:p w14:paraId="1B395D98" w14:textId="77777777" w:rsidR="00612AC9" w:rsidRPr="00525A18" w:rsidRDefault="00612AC9" w:rsidP="00525A18">
            <w:pPr>
              <w:pStyle w:val="TableParagraph"/>
              <w:spacing w:before="12"/>
              <w:jc w:val="center"/>
              <w:rPr>
                <w:rFonts w:ascii="Times New Roman" w:hAnsi="Times New Roman" w:cs="Times New Roman"/>
                <w:sz w:val="19"/>
              </w:rPr>
            </w:pPr>
          </w:p>
          <w:p w14:paraId="02C85FF2" w14:textId="77777777" w:rsidR="00612AC9" w:rsidRPr="00525A18" w:rsidRDefault="00525A18" w:rsidP="00525A18">
            <w:pPr>
              <w:pStyle w:val="TableParagraph"/>
              <w:ind w:left="130" w:right="116"/>
              <w:jc w:val="center"/>
              <w:rPr>
                <w:rFonts w:ascii="Times New Roman" w:hAnsi="Times New Roman" w:cs="Times New Roman"/>
                <w:sz w:val="24"/>
              </w:rPr>
            </w:pPr>
            <w:r w:rsidRPr="00525A18">
              <w:rPr>
                <w:rFonts w:ascii="Times New Roman" w:hAnsi="Times New Roman" w:cs="Times New Roman"/>
                <w:sz w:val="24"/>
              </w:rPr>
              <w:t>1,100</w:t>
            </w:r>
          </w:p>
        </w:tc>
        <w:tc>
          <w:tcPr>
            <w:tcW w:w="5954" w:type="dxa"/>
            <w:vMerge/>
            <w:tcBorders>
              <w:top w:val="nil"/>
            </w:tcBorders>
          </w:tcPr>
          <w:p w14:paraId="5C158494" w14:textId="77777777" w:rsidR="00612AC9" w:rsidRPr="00525A18" w:rsidRDefault="00612AC9">
            <w:pPr>
              <w:rPr>
                <w:rFonts w:ascii="Times New Roman" w:hAnsi="Times New Roman" w:cs="Times New Roman"/>
                <w:sz w:val="2"/>
                <w:szCs w:val="2"/>
              </w:rPr>
            </w:pPr>
          </w:p>
        </w:tc>
      </w:tr>
      <w:tr w:rsidR="00612AC9" w:rsidRPr="00525A18" w14:paraId="2AD1A13D" w14:textId="77777777" w:rsidTr="00EB568C">
        <w:trPr>
          <w:trHeight w:val="1259"/>
        </w:trPr>
        <w:tc>
          <w:tcPr>
            <w:tcW w:w="1586" w:type="dxa"/>
            <w:vMerge/>
            <w:tcBorders>
              <w:top w:val="nil"/>
            </w:tcBorders>
          </w:tcPr>
          <w:p w14:paraId="5811D185" w14:textId="77777777" w:rsidR="00612AC9" w:rsidRPr="00525A18" w:rsidRDefault="00612AC9">
            <w:pPr>
              <w:rPr>
                <w:rFonts w:ascii="Times New Roman" w:hAnsi="Times New Roman" w:cs="Times New Roman"/>
                <w:sz w:val="2"/>
                <w:szCs w:val="2"/>
              </w:rPr>
            </w:pPr>
          </w:p>
        </w:tc>
        <w:tc>
          <w:tcPr>
            <w:tcW w:w="1134" w:type="dxa"/>
            <w:vAlign w:val="center"/>
          </w:tcPr>
          <w:p w14:paraId="147EDCF5" w14:textId="3C88EF1F" w:rsidR="001E253D" w:rsidRPr="00525A18" w:rsidRDefault="001E253D" w:rsidP="00525A18">
            <w:pPr>
              <w:pStyle w:val="TableParagraph"/>
              <w:spacing w:before="187"/>
              <w:ind w:left="30"/>
              <w:jc w:val="center"/>
              <w:rPr>
                <w:rFonts w:ascii="Times New Roman" w:hAnsi="Times New Roman" w:cs="Times New Roman"/>
                <w:sz w:val="24"/>
              </w:rPr>
            </w:pPr>
            <w:r w:rsidRPr="00525A18">
              <w:rPr>
                <w:rFonts w:ascii="Times New Roman" w:hAnsi="Times New Roman" w:cs="Times New Roman"/>
              </w:rPr>
              <w:t>169 and below</w:t>
            </w:r>
          </w:p>
        </w:tc>
        <w:tc>
          <w:tcPr>
            <w:tcW w:w="1276" w:type="dxa"/>
            <w:vAlign w:val="center"/>
          </w:tcPr>
          <w:p w14:paraId="61EF6D1B" w14:textId="77777777" w:rsidR="00612AC9" w:rsidRPr="00525A18" w:rsidRDefault="00612AC9" w:rsidP="00525A18">
            <w:pPr>
              <w:pStyle w:val="TableParagraph"/>
              <w:jc w:val="center"/>
              <w:rPr>
                <w:rFonts w:ascii="Times New Roman" w:hAnsi="Times New Roman" w:cs="Times New Roman"/>
                <w:sz w:val="26"/>
              </w:rPr>
            </w:pPr>
          </w:p>
          <w:p w14:paraId="3939974D" w14:textId="77777777" w:rsidR="00612AC9" w:rsidRPr="00525A18" w:rsidRDefault="00525A18" w:rsidP="00525A18">
            <w:pPr>
              <w:pStyle w:val="TableParagraph"/>
              <w:spacing w:before="215"/>
              <w:ind w:left="130" w:right="116"/>
              <w:jc w:val="center"/>
              <w:rPr>
                <w:rFonts w:ascii="Times New Roman" w:hAnsi="Times New Roman" w:cs="Times New Roman"/>
                <w:sz w:val="24"/>
              </w:rPr>
            </w:pPr>
            <w:r w:rsidRPr="00525A18">
              <w:rPr>
                <w:rFonts w:ascii="Times New Roman" w:hAnsi="Times New Roman" w:cs="Times New Roman"/>
                <w:sz w:val="24"/>
              </w:rPr>
              <w:t>1,000</w:t>
            </w:r>
          </w:p>
        </w:tc>
        <w:tc>
          <w:tcPr>
            <w:tcW w:w="5954" w:type="dxa"/>
            <w:vMerge/>
            <w:tcBorders>
              <w:top w:val="nil"/>
            </w:tcBorders>
          </w:tcPr>
          <w:p w14:paraId="716E2D6D" w14:textId="77777777" w:rsidR="00612AC9" w:rsidRPr="00525A18" w:rsidRDefault="00612AC9">
            <w:pPr>
              <w:rPr>
                <w:rFonts w:ascii="Times New Roman" w:hAnsi="Times New Roman" w:cs="Times New Roman"/>
                <w:sz w:val="2"/>
                <w:szCs w:val="2"/>
              </w:rPr>
            </w:pPr>
          </w:p>
        </w:tc>
      </w:tr>
      <w:tr w:rsidR="00612AC9" w:rsidRPr="00525A18" w14:paraId="3723B576" w14:textId="77777777" w:rsidTr="00EB568C">
        <w:trPr>
          <w:trHeight w:val="720"/>
        </w:trPr>
        <w:tc>
          <w:tcPr>
            <w:tcW w:w="1586" w:type="dxa"/>
            <w:vAlign w:val="center"/>
          </w:tcPr>
          <w:p w14:paraId="472377B4" w14:textId="30D9F4E8" w:rsidR="00CC6EDD" w:rsidRPr="00525A18" w:rsidRDefault="001E253D" w:rsidP="00525A18">
            <w:pPr>
              <w:pStyle w:val="TableParagraph"/>
              <w:jc w:val="center"/>
              <w:rPr>
                <w:rFonts w:ascii="Times New Roman" w:eastAsiaTheme="minorEastAsia" w:hAnsi="Times New Roman" w:cs="Times New Roman"/>
                <w:sz w:val="24"/>
              </w:rPr>
            </w:pPr>
            <w:r w:rsidRPr="00525A18">
              <w:rPr>
                <w:rFonts w:ascii="Times New Roman" w:hAnsi="Times New Roman" w:cs="Times New Roman"/>
                <w:sz w:val="24"/>
              </w:rPr>
              <w:t>Round trip air</w:t>
            </w:r>
            <w:r w:rsidR="00AE15B9" w:rsidRPr="00525A18">
              <w:rPr>
                <w:rFonts w:ascii="Times New Roman" w:hAnsi="Times New Roman" w:cs="Times New Roman"/>
                <w:sz w:val="24"/>
              </w:rPr>
              <w:t>fare</w:t>
            </w:r>
          </w:p>
        </w:tc>
        <w:tc>
          <w:tcPr>
            <w:tcW w:w="2410" w:type="dxa"/>
            <w:gridSpan w:val="2"/>
            <w:vAlign w:val="center"/>
          </w:tcPr>
          <w:p w14:paraId="36B4065D" w14:textId="34952C3E" w:rsidR="00CC6EDD" w:rsidRPr="00525A18" w:rsidRDefault="00AE15B9" w:rsidP="00525A18">
            <w:pPr>
              <w:pStyle w:val="TableParagraph"/>
              <w:jc w:val="center"/>
              <w:rPr>
                <w:rFonts w:ascii="Times New Roman" w:eastAsiaTheme="minorEastAsia" w:hAnsi="Times New Roman" w:cs="Times New Roman"/>
                <w:sz w:val="24"/>
              </w:rPr>
            </w:pPr>
            <w:r w:rsidRPr="00525A18">
              <w:rPr>
                <w:rFonts w:ascii="Times New Roman" w:hAnsi="Times New Roman" w:cs="Times New Roman"/>
                <w:sz w:val="24"/>
              </w:rPr>
              <w:t>F</w:t>
            </w:r>
            <w:r w:rsidR="001E253D" w:rsidRPr="00525A18">
              <w:rPr>
                <w:rFonts w:ascii="Times New Roman" w:hAnsi="Times New Roman" w:cs="Times New Roman"/>
                <w:sz w:val="24"/>
              </w:rPr>
              <w:t>ixed amount subsidy</w:t>
            </w:r>
          </w:p>
        </w:tc>
        <w:tc>
          <w:tcPr>
            <w:tcW w:w="5954" w:type="dxa"/>
            <w:vAlign w:val="center"/>
          </w:tcPr>
          <w:p w14:paraId="2C332539" w14:textId="6ECC643F" w:rsidR="00652583" w:rsidRPr="00525A18" w:rsidRDefault="00652583" w:rsidP="00525A18">
            <w:pPr>
              <w:pStyle w:val="TableParagraph"/>
              <w:jc w:val="both"/>
              <w:rPr>
                <w:rFonts w:ascii="Times New Roman" w:hAnsi="Times New Roman" w:cs="Times New Roman"/>
                <w:sz w:val="24"/>
              </w:rPr>
            </w:pPr>
            <w:r w:rsidRPr="00525A18">
              <w:rPr>
                <w:rFonts w:ascii="Times New Roman" w:hAnsi="Times New Roman" w:cs="Times New Roman"/>
                <w:sz w:val="24"/>
              </w:rPr>
              <w:t>1. Submit receipts for inspection and claim the exact expenses incurred.</w:t>
            </w:r>
          </w:p>
          <w:p w14:paraId="0D6DAD8A" w14:textId="77777777" w:rsidR="00525A18" w:rsidRPr="00525A18" w:rsidRDefault="00525A18" w:rsidP="00525A18">
            <w:pPr>
              <w:pStyle w:val="TableParagraph"/>
              <w:ind w:left="341" w:hangingChars="142" w:hanging="341"/>
              <w:jc w:val="both"/>
              <w:rPr>
                <w:rFonts w:ascii="Times New Roman" w:hAnsi="Times New Roman" w:cs="Times New Roman"/>
                <w:sz w:val="24"/>
              </w:rPr>
            </w:pPr>
          </w:p>
          <w:p w14:paraId="41D8D9AE" w14:textId="4E9D8E6C" w:rsidR="00CC6EDD" w:rsidRPr="00525A18" w:rsidRDefault="00652583" w:rsidP="00525A18">
            <w:pPr>
              <w:pStyle w:val="TableParagraph"/>
              <w:ind w:left="341" w:hangingChars="142" w:hanging="341"/>
              <w:jc w:val="both"/>
              <w:rPr>
                <w:rFonts w:ascii="Times New Roman" w:eastAsiaTheme="minorEastAsia" w:hAnsi="Times New Roman" w:cs="Times New Roman"/>
                <w:sz w:val="24"/>
              </w:rPr>
            </w:pPr>
            <w:r w:rsidRPr="00525A18">
              <w:rPr>
                <w:rFonts w:ascii="Times New Roman" w:hAnsi="Times New Roman" w:cs="Times New Roman"/>
                <w:sz w:val="24"/>
              </w:rPr>
              <w:t>2. When traveling abroad or returning home, ensure economy class standard seats (cabin) are used.</w:t>
            </w:r>
          </w:p>
        </w:tc>
      </w:tr>
      <w:tr w:rsidR="00612AC9" w:rsidRPr="00525A18" w14:paraId="5AD004B2" w14:textId="77777777" w:rsidTr="00EB568C">
        <w:trPr>
          <w:trHeight w:val="2879"/>
        </w:trPr>
        <w:tc>
          <w:tcPr>
            <w:tcW w:w="1586" w:type="dxa"/>
            <w:vAlign w:val="center"/>
          </w:tcPr>
          <w:p w14:paraId="360D8C65" w14:textId="5DE7A586" w:rsidR="00446574" w:rsidRPr="00525A18" w:rsidRDefault="00446574" w:rsidP="00525A18">
            <w:pPr>
              <w:pStyle w:val="TableParagraph"/>
              <w:spacing w:before="2"/>
              <w:ind w:left="28"/>
              <w:jc w:val="center"/>
              <w:rPr>
                <w:rFonts w:ascii="Times New Roman" w:hAnsi="Times New Roman" w:cs="Times New Roman"/>
                <w:sz w:val="24"/>
              </w:rPr>
            </w:pPr>
            <w:r w:rsidRPr="00525A18">
              <w:rPr>
                <w:rFonts w:ascii="Times New Roman" w:hAnsi="Times New Roman" w:cs="Times New Roman"/>
                <w:sz w:val="24"/>
              </w:rPr>
              <w:t xml:space="preserve">Tuition and miscellaneous fees (including </w:t>
            </w:r>
            <w:r w:rsidR="00336594" w:rsidRPr="00525A18">
              <w:rPr>
                <w:rFonts w:ascii="Times New Roman" w:hAnsi="Times New Roman" w:cs="Times New Roman"/>
                <w:sz w:val="24"/>
              </w:rPr>
              <w:t>application</w:t>
            </w:r>
            <w:r w:rsidRPr="00525A18">
              <w:rPr>
                <w:rFonts w:ascii="Times New Roman" w:hAnsi="Times New Roman" w:cs="Times New Roman"/>
                <w:sz w:val="24"/>
              </w:rPr>
              <w:t xml:space="preserve"> fees, registration fees, visiting </w:t>
            </w:r>
            <w:r w:rsidR="00336594" w:rsidRPr="00525A18">
              <w:rPr>
                <w:rFonts w:ascii="Times New Roman" w:hAnsi="Times New Roman" w:cs="Times New Roman"/>
                <w:sz w:val="24"/>
              </w:rPr>
              <w:t>scholar</w:t>
            </w:r>
            <w:r w:rsidRPr="00525A18">
              <w:rPr>
                <w:rFonts w:ascii="Times New Roman" w:hAnsi="Times New Roman" w:cs="Times New Roman"/>
                <w:sz w:val="24"/>
              </w:rPr>
              <w:t xml:space="preserve"> fees, laboratory fees, necessary membership fees</w:t>
            </w:r>
            <w:r w:rsidR="00203F8F" w:rsidRPr="00525A18">
              <w:rPr>
                <w:rFonts w:ascii="Times New Roman" w:hAnsi="Times New Roman" w:cs="Times New Roman"/>
                <w:sz w:val="24"/>
              </w:rPr>
              <w:t>,</w:t>
            </w:r>
            <w:r w:rsidRPr="00525A18">
              <w:rPr>
                <w:rFonts w:ascii="Times New Roman" w:hAnsi="Times New Roman" w:cs="Times New Roman"/>
                <w:sz w:val="24"/>
              </w:rPr>
              <w:t xml:space="preserve"> and facility usage fees)</w:t>
            </w:r>
            <w:r w:rsidR="00203F8F" w:rsidRPr="00525A18">
              <w:rPr>
                <w:rFonts w:ascii="Times New Roman" w:hAnsi="Times New Roman" w:cs="Times New Roman"/>
                <w:sz w:val="24"/>
              </w:rPr>
              <w:t xml:space="preserve"> and </w:t>
            </w:r>
            <w:r w:rsidR="00A65EA3" w:rsidRPr="00525A18">
              <w:rPr>
                <w:rFonts w:ascii="Times New Roman" w:hAnsi="Times New Roman" w:cs="Times New Roman"/>
                <w:sz w:val="24"/>
              </w:rPr>
              <w:t>practicum observation</w:t>
            </w:r>
          </w:p>
          <w:p w14:paraId="1F2E0761" w14:textId="06BEC43F" w:rsidR="00446574" w:rsidRPr="00525A18" w:rsidRDefault="00446574" w:rsidP="00525A18">
            <w:pPr>
              <w:pStyle w:val="TableParagraph"/>
              <w:spacing w:before="2"/>
              <w:ind w:left="28"/>
              <w:jc w:val="center"/>
              <w:rPr>
                <w:rFonts w:ascii="Times New Roman" w:hAnsi="Times New Roman" w:cs="Times New Roman"/>
                <w:sz w:val="24"/>
              </w:rPr>
            </w:pPr>
            <w:r w:rsidRPr="00525A18">
              <w:rPr>
                <w:rFonts w:ascii="Times New Roman" w:hAnsi="Times New Roman" w:cs="Times New Roman"/>
                <w:sz w:val="24"/>
              </w:rPr>
              <w:t>and transportation expenses</w:t>
            </w:r>
          </w:p>
          <w:p w14:paraId="31A90473" w14:textId="77777777" w:rsidR="00CC6EDD" w:rsidRPr="00525A18" w:rsidRDefault="00CC6EDD" w:rsidP="00525A18">
            <w:pPr>
              <w:pStyle w:val="TableParagraph"/>
              <w:spacing w:before="2"/>
              <w:ind w:left="28"/>
              <w:jc w:val="center"/>
              <w:rPr>
                <w:rFonts w:ascii="Times New Roman" w:hAnsi="Times New Roman" w:cs="Times New Roman"/>
                <w:sz w:val="24"/>
              </w:rPr>
            </w:pPr>
          </w:p>
        </w:tc>
        <w:tc>
          <w:tcPr>
            <w:tcW w:w="2410" w:type="dxa"/>
            <w:gridSpan w:val="2"/>
            <w:vMerge w:val="restart"/>
            <w:vAlign w:val="center"/>
          </w:tcPr>
          <w:p w14:paraId="1C373B79" w14:textId="7B7C596D" w:rsidR="00446574" w:rsidRPr="00525A18" w:rsidRDefault="00446574" w:rsidP="00525A18">
            <w:pPr>
              <w:pStyle w:val="TableParagraph"/>
              <w:jc w:val="center"/>
              <w:rPr>
                <w:rFonts w:ascii="Times New Roman" w:eastAsia="Times New Roman" w:hAnsi="Times New Roman" w:cs="Times New Roman"/>
                <w:sz w:val="24"/>
              </w:rPr>
            </w:pPr>
            <w:r w:rsidRPr="00525A18">
              <w:rPr>
                <w:rFonts w:ascii="Times New Roman" w:hAnsi="Times New Roman" w:cs="Times New Roman"/>
                <w:sz w:val="24"/>
              </w:rPr>
              <w:t xml:space="preserve">Monthly </w:t>
            </w:r>
            <w:r w:rsidR="00AB6DCF" w:rsidRPr="00525A18">
              <w:rPr>
                <w:rFonts w:ascii="Times New Roman" w:hAnsi="Times New Roman" w:cs="Times New Roman"/>
                <w:sz w:val="24"/>
              </w:rPr>
              <w:t>allowa</w:t>
            </w:r>
            <w:bookmarkStart w:id="2" w:name="_GoBack"/>
            <w:bookmarkEnd w:id="2"/>
            <w:r w:rsidR="00AB6DCF" w:rsidRPr="00525A18">
              <w:rPr>
                <w:rFonts w:ascii="Times New Roman" w:hAnsi="Times New Roman" w:cs="Times New Roman"/>
                <w:sz w:val="24"/>
              </w:rPr>
              <w:t>nce</w:t>
            </w:r>
            <w:r w:rsidR="00716BBB" w:rsidRPr="00525A18">
              <w:rPr>
                <w:rFonts w:ascii="Times New Roman" w:hAnsi="Times New Roman" w:cs="Times New Roman"/>
                <w:sz w:val="24"/>
              </w:rPr>
              <w:t xml:space="preserve"> 350</w:t>
            </w:r>
          </w:p>
        </w:tc>
        <w:tc>
          <w:tcPr>
            <w:tcW w:w="5954" w:type="dxa"/>
            <w:vMerge w:val="restart"/>
            <w:vAlign w:val="center"/>
          </w:tcPr>
          <w:p w14:paraId="49927903" w14:textId="2176B462" w:rsidR="00D53280" w:rsidRPr="00525A18" w:rsidRDefault="00D53280" w:rsidP="00525A18">
            <w:pPr>
              <w:pStyle w:val="TableParagraph"/>
              <w:jc w:val="both"/>
              <w:rPr>
                <w:rFonts w:ascii="Times New Roman" w:hAnsi="Times New Roman" w:cs="Times New Roman"/>
                <w:sz w:val="24"/>
              </w:rPr>
            </w:pPr>
            <w:r w:rsidRPr="00525A18">
              <w:rPr>
                <w:rFonts w:ascii="Times New Roman" w:hAnsi="Times New Roman" w:cs="Times New Roman"/>
                <w:sz w:val="24"/>
              </w:rPr>
              <w:t xml:space="preserve">1. Submit receipts for </w:t>
            </w:r>
            <w:r w:rsidR="00816B96" w:rsidRPr="00525A18">
              <w:rPr>
                <w:rFonts w:ascii="Times New Roman" w:hAnsi="Times New Roman" w:cs="Times New Roman"/>
                <w:sz w:val="24"/>
              </w:rPr>
              <w:t xml:space="preserve">review and </w:t>
            </w:r>
            <w:r w:rsidRPr="00525A18">
              <w:rPr>
                <w:rFonts w:ascii="Times New Roman" w:hAnsi="Times New Roman" w:cs="Times New Roman"/>
                <w:sz w:val="24"/>
              </w:rPr>
              <w:t>claim the exact expenses incurred.</w:t>
            </w:r>
          </w:p>
          <w:p w14:paraId="133944EE" w14:textId="77777777" w:rsidR="00D53280" w:rsidRPr="00525A18" w:rsidRDefault="00D53280" w:rsidP="00525A18">
            <w:pPr>
              <w:pStyle w:val="TableParagraph"/>
              <w:jc w:val="both"/>
              <w:rPr>
                <w:rFonts w:ascii="Times New Roman" w:hAnsi="Times New Roman" w:cs="Times New Roman"/>
                <w:sz w:val="24"/>
              </w:rPr>
            </w:pPr>
          </w:p>
          <w:p w14:paraId="17161F6D" w14:textId="65993D1B" w:rsidR="00D53280" w:rsidRPr="00525A18" w:rsidRDefault="00D53280" w:rsidP="00525A18">
            <w:pPr>
              <w:pStyle w:val="TableParagraph"/>
              <w:ind w:left="341" w:hangingChars="142" w:hanging="341"/>
              <w:jc w:val="both"/>
              <w:rPr>
                <w:rFonts w:ascii="Times New Roman" w:hAnsi="Times New Roman" w:cs="Times New Roman"/>
                <w:sz w:val="24"/>
              </w:rPr>
            </w:pPr>
            <w:r w:rsidRPr="00525A18">
              <w:rPr>
                <w:rFonts w:ascii="Times New Roman" w:hAnsi="Times New Roman" w:cs="Times New Roman"/>
                <w:sz w:val="24"/>
              </w:rPr>
              <w:t xml:space="preserve">2. Submit transportation expense receipts </w:t>
            </w:r>
            <w:r w:rsidR="00816B96" w:rsidRPr="00525A18">
              <w:rPr>
                <w:rFonts w:ascii="Times New Roman" w:hAnsi="Times New Roman" w:cs="Times New Roman"/>
                <w:sz w:val="24"/>
              </w:rPr>
              <w:t xml:space="preserve">for reimbursement </w:t>
            </w:r>
            <w:r w:rsidRPr="00525A18">
              <w:rPr>
                <w:rFonts w:ascii="Times New Roman" w:hAnsi="Times New Roman" w:cs="Times New Roman"/>
                <w:sz w:val="24"/>
              </w:rPr>
              <w:t xml:space="preserve">based on </w:t>
            </w:r>
            <w:r w:rsidR="00203F8F" w:rsidRPr="00525A18">
              <w:rPr>
                <w:rFonts w:ascii="Times New Roman" w:hAnsi="Times New Roman" w:cs="Times New Roman"/>
                <w:sz w:val="24"/>
              </w:rPr>
              <w:t xml:space="preserve">the </w:t>
            </w:r>
            <w:r w:rsidRPr="00525A18">
              <w:rPr>
                <w:rFonts w:ascii="Times New Roman" w:hAnsi="Times New Roman" w:cs="Times New Roman"/>
                <w:sz w:val="24"/>
              </w:rPr>
              <w:t>actual expenditure.</w:t>
            </w:r>
          </w:p>
          <w:p w14:paraId="46C05E95" w14:textId="77777777" w:rsidR="00D53280" w:rsidRPr="00525A18" w:rsidRDefault="00D53280" w:rsidP="00525A18">
            <w:pPr>
              <w:pStyle w:val="TableParagraph"/>
              <w:jc w:val="both"/>
              <w:rPr>
                <w:rFonts w:ascii="Times New Roman" w:hAnsi="Times New Roman" w:cs="Times New Roman"/>
                <w:sz w:val="24"/>
              </w:rPr>
            </w:pPr>
          </w:p>
          <w:p w14:paraId="04B9C406" w14:textId="77777777" w:rsidR="00816B96" w:rsidRPr="00525A18" w:rsidRDefault="00D53280" w:rsidP="00525A18">
            <w:pPr>
              <w:pStyle w:val="TableParagraph"/>
              <w:ind w:left="341" w:hangingChars="142" w:hanging="341"/>
              <w:jc w:val="both"/>
              <w:rPr>
                <w:rFonts w:ascii="Times New Roman" w:hAnsi="Times New Roman" w:cs="Times New Roman"/>
                <w:sz w:val="24"/>
              </w:rPr>
            </w:pPr>
            <w:r w:rsidRPr="00525A18">
              <w:rPr>
                <w:rFonts w:ascii="Times New Roman" w:hAnsi="Times New Roman" w:cs="Times New Roman"/>
                <w:sz w:val="24"/>
              </w:rPr>
              <w:t xml:space="preserve">3. </w:t>
            </w:r>
            <w:r w:rsidR="00816B96" w:rsidRPr="00525A18">
              <w:rPr>
                <w:rFonts w:ascii="Times New Roman" w:hAnsi="Times New Roman" w:cs="Times New Roman"/>
                <w:sz w:val="24"/>
              </w:rPr>
              <w:t>Living expenses during practicum observation should adhere to the rates specified in the Daily Reimbursement Table. Monthly expenses should be calculated based on the actual number of days, deducting the originally allocated monthly amount. Duplicate claims will not be accepted.</w:t>
            </w:r>
          </w:p>
          <w:p w14:paraId="621779C9" w14:textId="77777777" w:rsidR="00D53280" w:rsidRPr="00525A18" w:rsidRDefault="00D53280" w:rsidP="00525A18">
            <w:pPr>
              <w:pStyle w:val="TableParagraph"/>
              <w:jc w:val="both"/>
              <w:rPr>
                <w:rFonts w:ascii="Times New Roman" w:hAnsi="Times New Roman" w:cs="Times New Roman"/>
                <w:sz w:val="24"/>
              </w:rPr>
            </w:pPr>
          </w:p>
          <w:p w14:paraId="7BCF4D28" w14:textId="68DC9176" w:rsidR="00D53280" w:rsidRPr="00525A18" w:rsidRDefault="00D53280" w:rsidP="00525A18">
            <w:pPr>
              <w:pStyle w:val="TableParagraph"/>
              <w:ind w:left="341" w:hangingChars="142" w:hanging="341"/>
              <w:jc w:val="both"/>
              <w:rPr>
                <w:rFonts w:ascii="Times New Roman" w:eastAsiaTheme="minorEastAsia" w:hAnsi="Times New Roman" w:cs="Times New Roman"/>
                <w:sz w:val="24"/>
              </w:rPr>
            </w:pPr>
            <w:r w:rsidRPr="00525A18">
              <w:rPr>
                <w:rFonts w:ascii="Times New Roman" w:hAnsi="Times New Roman" w:cs="Times New Roman"/>
                <w:sz w:val="24"/>
              </w:rPr>
              <w:t>4. Report foreign travel processing fees in accordance with Point 13 of the "Directives for Reimbursement of Overseas Business Travel Expenses."</w:t>
            </w:r>
          </w:p>
        </w:tc>
      </w:tr>
      <w:tr w:rsidR="00612AC9" w:rsidRPr="00525A18" w14:paraId="61017DC2" w14:textId="77777777" w:rsidTr="00EB568C">
        <w:trPr>
          <w:trHeight w:val="659"/>
        </w:trPr>
        <w:tc>
          <w:tcPr>
            <w:tcW w:w="1586" w:type="dxa"/>
            <w:vAlign w:val="center"/>
          </w:tcPr>
          <w:p w14:paraId="79510298" w14:textId="0EA367AB" w:rsidR="00CC6EDD" w:rsidRPr="00525A18" w:rsidRDefault="00716BBB" w:rsidP="00525A18">
            <w:pPr>
              <w:pStyle w:val="TableParagraph"/>
              <w:spacing w:before="2"/>
              <w:ind w:left="28"/>
              <w:jc w:val="center"/>
              <w:rPr>
                <w:rFonts w:ascii="Times New Roman" w:hAnsi="Times New Roman" w:cs="Times New Roman"/>
                <w:sz w:val="24"/>
              </w:rPr>
            </w:pPr>
            <w:r w:rsidRPr="00525A18">
              <w:rPr>
                <w:rFonts w:ascii="Times New Roman" w:hAnsi="Times New Roman" w:cs="Times New Roman"/>
                <w:sz w:val="24"/>
              </w:rPr>
              <w:t>Foreign travel</w:t>
            </w:r>
            <w:r w:rsidR="00446574" w:rsidRPr="00525A18">
              <w:rPr>
                <w:rFonts w:ascii="Times New Roman" w:hAnsi="Times New Roman" w:cs="Times New Roman"/>
                <w:sz w:val="24"/>
              </w:rPr>
              <w:t xml:space="preserve"> </w:t>
            </w:r>
            <w:r w:rsidRPr="00525A18">
              <w:rPr>
                <w:rFonts w:ascii="Times New Roman" w:hAnsi="Times New Roman" w:cs="Times New Roman"/>
                <w:sz w:val="24"/>
              </w:rPr>
              <w:t>processing</w:t>
            </w:r>
            <w:r w:rsidR="00446574" w:rsidRPr="00525A18">
              <w:rPr>
                <w:rFonts w:ascii="Times New Roman" w:hAnsi="Times New Roman" w:cs="Times New Roman"/>
                <w:sz w:val="24"/>
              </w:rPr>
              <w:t xml:space="preserve"> fee</w:t>
            </w:r>
          </w:p>
        </w:tc>
        <w:tc>
          <w:tcPr>
            <w:tcW w:w="2410" w:type="dxa"/>
            <w:gridSpan w:val="2"/>
            <w:vMerge/>
            <w:tcBorders>
              <w:top w:val="nil"/>
            </w:tcBorders>
            <w:vAlign w:val="center"/>
          </w:tcPr>
          <w:p w14:paraId="33DD6A92" w14:textId="77777777" w:rsidR="00612AC9" w:rsidRPr="00525A18" w:rsidRDefault="00612AC9" w:rsidP="00525A18">
            <w:pPr>
              <w:jc w:val="center"/>
              <w:rPr>
                <w:rFonts w:ascii="Times New Roman" w:hAnsi="Times New Roman" w:cs="Times New Roman"/>
                <w:sz w:val="2"/>
                <w:szCs w:val="2"/>
              </w:rPr>
            </w:pPr>
          </w:p>
        </w:tc>
        <w:tc>
          <w:tcPr>
            <w:tcW w:w="5954" w:type="dxa"/>
            <w:vMerge/>
            <w:tcBorders>
              <w:top w:val="nil"/>
            </w:tcBorders>
          </w:tcPr>
          <w:p w14:paraId="504E2580" w14:textId="77777777" w:rsidR="00612AC9" w:rsidRPr="00525A18" w:rsidRDefault="00612AC9">
            <w:pPr>
              <w:rPr>
                <w:rFonts w:ascii="Times New Roman" w:hAnsi="Times New Roman" w:cs="Times New Roman"/>
                <w:sz w:val="2"/>
                <w:szCs w:val="2"/>
              </w:rPr>
            </w:pPr>
          </w:p>
        </w:tc>
      </w:tr>
      <w:tr w:rsidR="00612AC9" w:rsidRPr="00525A18" w14:paraId="77C27D81" w14:textId="77777777" w:rsidTr="00EB568C">
        <w:trPr>
          <w:trHeight w:val="1800"/>
        </w:trPr>
        <w:tc>
          <w:tcPr>
            <w:tcW w:w="1586" w:type="dxa"/>
            <w:vAlign w:val="center"/>
          </w:tcPr>
          <w:p w14:paraId="3B4C0E43" w14:textId="73B7AFB4" w:rsidR="00CC6EDD" w:rsidRPr="00525A18" w:rsidRDefault="00446574" w:rsidP="00525A18">
            <w:pPr>
              <w:pStyle w:val="TableParagraph"/>
              <w:spacing w:before="2"/>
              <w:jc w:val="center"/>
              <w:rPr>
                <w:rFonts w:ascii="Times New Roman" w:eastAsiaTheme="minorEastAsia" w:hAnsi="Times New Roman" w:cs="Times New Roman"/>
                <w:sz w:val="24"/>
              </w:rPr>
            </w:pPr>
            <w:r w:rsidRPr="00525A18">
              <w:rPr>
                <w:rFonts w:ascii="Times New Roman" w:hAnsi="Times New Roman" w:cs="Times New Roman"/>
                <w:sz w:val="24"/>
              </w:rPr>
              <w:t>Comprehensive subsidy</w:t>
            </w:r>
          </w:p>
        </w:tc>
        <w:tc>
          <w:tcPr>
            <w:tcW w:w="2410" w:type="dxa"/>
            <w:gridSpan w:val="2"/>
            <w:vAlign w:val="center"/>
          </w:tcPr>
          <w:p w14:paraId="1389DAEF" w14:textId="46379E71" w:rsidR="00446574" w:rsidRPr="00525A18" w:rsidRDefault="00446574" w:rsidP="00525A18">
            <w:pPr>
              <w:pStyle w:val="TableParagraph"/>
              <w:jc w:val="center"/>
              <w:rPr>
                <w:rFonts w:ascii="Times New Roman" w:eastAsia="Times New Roman" w:hAnsi="Times New Roman" w:cs="Times New Roman"/>
                <w:sz w:val="24"/>
              </w:rPr>
            </w:pPr>
            <w:r w:rsidRPr="00525A18">
              <w:rPr>
                <w:rFonts w:ascii="Times New Roman" w:hAnsi="Times New Roman" w:cs="Times New Roman"/>
                <w:sz w:val="24"/>
              </w:rPr>
              <w:t xml:space="preserve">Monthly </w:t>
            </w:r>
            <w:r w:rsidR="00AB6DCF" w:rsidRPr="00525A18">
              <w:rPr>
                <w:rFonts w:ascii="Times New Roman" w:hAnsi="Times New Roman" w:cs="Times New Roman"/>
                <w:sz w:val="24"/>
              </w:rPr>
              <w:t>allowance</w:t>
            </w:r>
            <w:r w:rsidRPr="00525A18">
              <w:rPr>
                <w:rFonts w:ascii="Times New Roman" w:hAnsi="Times New Roman" w:cs="Times New Roman"/>
                <w:sz w:val="24"/>
              </w:rPr>
              <w:t xml:space="preserve"> 180</w:t>
            </w:r>
          </w:p>
        </w:tc>
        <w:tc>
          <w:tcPr>
            <w:tcW w:w="5954" w:type="dxa"/>
            <w:vAlign w:val="center"/>
          </w:tcPr>
          <w:p w14:paraId="0F6D82CB" w14:textId="1E05921F" w:rsidR="0022106B" w:rsidRPr="00525A18" w:rsidRDefault="0022106B" w:rsidP="00525A18">
            <w:pPr>
              <w:pStyle w:val="TableParagraph"/>
              <w:spacing w:before="53"/>
              <w:ind w:left="341" w:hangingChars="142" w:hanging="341"/>
              <w:jc w:val="both"/>
              <w:rPr>
                <w:rFonts w:ascii="Times New Roman" w:hAnsi="Times New Roman" w:cs="Times New Roman"/>
                <w:sz w:val="24"/>
              </w:rPr>
            </w:pPr>
            <w:r w:rsidRPr="00525A18">
              <w:rPr>
                <w:rFonts w:ascii="Times New Roman" w:hAnsi="Times New Roman" w:cs="Times New Roman"/>
                <w:sz w:val="24"/>
              </w:rPr>
              <w:t>1. This subsidy covers costs</w:t>
            </w:r>
            <w:r w:rsidR="00203F8F" w:rsidRPr="00525A18">
              <w:rPr>
                <w:rFonts w:ascii="Times New Roman" w:hAnsi="Times New Roman" w:cs="Times New Roman"/>
                <w:sz w:val="24"/>
              </w:rPr>
              <w:t>,</w:t>
            </w:r>
            <w:r w:rsidRPr="00525A18">
              <w:rPr>
                <w:rFonts w:ascii="Times New Roman" w:hAnsi="Times New Roman" w:cs="Times New Roman"/>
                <w:sz w:val="24"/>
              </w:rPr>
              <w:t xml:space="preserve"> such as subsidized book fees, comprehensive insurance premiums, health insurance premiums, inland transportation fees (including car rental fees), and thesis writing fees.</w:t>
            </w:r>
          </w:p>
          <w:p w14:paraId="773F5A91" w14:textId="684EE639" w:rsidR="0022106B" w:rsidRPr="00525A18" w:rsidRDefault="0022106B" w:rsidP="00525A18">
            <w:pPr>
              <w:pStyle w:val="TableParagraph"/>
              <w:spacing w:before="53"/>
              <w:ind w:leftChars="15" w:left="340" w:hangingChars="128" w:hanging="307"/>
              <w:jc w:val="both"/>
              <w:rPr>
                <w:rFonts w:ascii="Times New Roman" w:hAnsi="Times New Roman" w:cs="Times New Roman"/>
                <w:sz w:val="24"/>
              </w:rPr>
            </w:pPr>
            <w:r w:rsidRPr="00525A18">
              <w:rPr>
                <w:rFonts w:ascii="Times New Roman" w:hAnsi="Times New Roman" w:cs="Times New Roman"/>
                <w:sz w:val="24"/>
              </w:rPr>
              <w:t>2. Payments are calculated and disbursed monthly. For periods shorter than a full month, reimbursement for half a month will be issued if it</w:t>
            </w:r>
            <w:r w:rsidR="00203F8F" w:rsidRPr="00525A18">
              <w:rPr>
                <w:rFonts w:ascii="Times New Roman" w:hAnsi="Times New Roman" w:cs="Times New Roman"/>
                <w:sz w:val="24"/>
              </w:rPr>
              <w:t xml:space="preserve"> i</w:t>
            </w:r>
            <w:r w:rsidRPr="00525A18">
              <w:rPr>
                <w:rFonts w:ascii="Times New Roman" w:hAnsi="Times New Roman" w:cs="Times New Roman"/>
                <w:sz w:val="24"/>
              </w:rPr>
              <w:t>s within 15 days. If the period exceeds 15 days, a full month's fee will be issued.</w:t>
            </w:r>
          </w:p>
          <w:p w14:paraId="4B8CE88E" w14:textId="258773EB" w:rsidR="00CC6EDD" w:rsidRPr="00525A18" w:rsidRDefault="0022106B" w:rsidP="00525A18">
            <w:pPr>
              <w:pStyle w:val="TableParagraph"/>
              <w:spacing w:before="53"/>
              <w:ind w:leftChars="15" w:left="340" w:hangingChars="128" w:hanging="307"/>
              <w:jc w:val="both"/>
              <w:rPr>
                <w:rFonts w:ascii="Times New Roman" w:eastAsiaTheme="minorEastAsia" w:hAnsi="Times New Roman" w:cs="Times New Roman"/>
                <w:sz w:val="24"/>
              </w:rPr>
            </w:pPr>
            <w:r w:rsidRPr="00525A18">
              <w:rPr>
                <w:rFonts w:ascii="Times New Roman" w:hAnsi="Times New Roman" w:cs="Times New Roman"/>
                <w:sz w:val="24"/>
              </w:rPr>
              <w:t>3. Payments are made to the relevant party upon providing a signature or affixing a seal.</w:t>
            </w:r>
          </w:p>
        </w:tc>
      </w:tr>
    </w:tbl>
    <w:p w14:paraId="11EFEA40" w14:textId="2C4F7626" w:rsidR="0022106B" w:rsidRPr="00525A18" w:rsidRDefault="0022106B">
      <w:pPr>
        <w:pStyle w:val="a3"/>
        <w:spacing w:before="12"/>
        <w:ind w:left="134"/>
        <w:rPr>
          <w:rFonts w:ascii="Times New Roman" w:hAnsi="Times New Roman" w:cs="Times New Roman"/>
          <w:sz w:val="20"/>
          <w:szCs w:val="20"/>
        </w:rPr>
      </w:pPr>
      <w:r w:rsidRPr="00525A18">
        <w:rPr>
          <w:rFonts w:ascii="Times New Roman" w:hAnsi="Times New Roman" w:cs="Times New Roman"/>
          <w:sz w:val="20"/>
          <w:szCs w:val="20"/>
        </w:rPr>
        <w:t>Note: Appropriation transfers between categories are allowed for expenses including round-trip air tickets, tuition and miscellaneous fees, practicum observation expenses, transportation expenses, and foreign travel processing fees.</w:t>
      </w:r>
    </w:p>
    <w:sectPr w:rsidR="0022106B" w:rsidRPr="00525A18" w:rsidSect="00EB568C">
      <w:pgSz w:w="11910" w:h="16840"/>
      <w:pgMar w:top="1360" w:right="820" w:bottom="709" w:left="8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AB3DE4" w16cex:dateUtc="2024-06-20T05:27:00Z"/>
  <w16cex:commentExtensible w16cex:durableId="70FEC703" w16cex:dateUtc="2024-06-18T22:2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0210"/>
    <w:multiLevelType w:val="hybridMultilevel"/>
    <w:tmpl w:val="03A66FF2"/>
    <w:lvl w:ilvl="0" w:tplc="388A7F2A">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 w15:restartNumberingAfterBreak="0">
    <w:nsid w:val="2D7F2531"/>
    <w:multiLevelType w:val="hybridMultilevel"/>
    <w:tmpl w:val="C826DE74"/>
    <w:lvl w:ilvl="0" w:tplc="1B3C1974">
      <w:start w:val="1"/>
      <w:numFmt w:val="japaneseCounting"/>
      <w:lvlText w:val="%1、"/>
      <w:lvlJc w:val="left"/>
      <w:pPr>
        <w:ind w:left="432" w:hanging="400"/>
      </w:pPr>
      <w:rPr>
        <w:rFonts w:hint="default"/>
        <w:w w:val="90"/>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C9"/>
    <w:rsid w:val="000304CE"/>
    <w:rsid w:val="00034AC9"/>
    <w:rsid w:val="000746EE"/>
    <w:rsid w:val="00076BA8"/>
    <w:rsid w:val="000D2488"/>
    <w:rsid w:val="000D5820"/>
    <w:rsid w:val="00101AF2"/>
    <w:rsid w:val="0010381D"/>
    <w:rsid w:val="001038FC"/>
    <w:rsid w:val="00136B10"/>
    <w:rsid w:val="0016235F"/>
    <w:rsid w:val="001730B2"/>
    <w:rsid w:val="00177D57"/>
    <w:rsid w:val="001E253D"/>
    <w:rsid w:val="00203416"/>
    <w:rsid w:val="00203F8F"/>
    <w:rsid w:val="0022106B"/>
    <w:rsid w:val="00223D8B"/>
    <w:rsid w:val="0023431F"/>
    <w:rsid w:val="002D6D02"/>
    <w:rsid w:val="00302EF9"/>
    <w:rsid w:val="00326897"/>
    <w:rsid w:val="00336594"/>
    <w:rsid w:val="003447D9"/>
    <w:rsid w:val="00352474"/>
    <w:rsid w:val="00373A66"/>
    <w:rsid w:val="003E1AE3"/>
    <w:rsid w:val="003E6778"/>
    <w:rsid w:val="00401C1B"/>
    <w:rsid w:val="00401EA2"/>
    <w:rsid w:val="0043117B"/>
    <w:rsid w:val="00446574"/>
    <w:rsid w:val="00455B69"/>
    <w:rsid w:val="004763D5"/>
    <w:rsid w:val="00483F6A"/>
    <w:rsid w:val="00487604"/>
    <w:rsid w:val="004B40BE"/>
    <w:rsid w:val="004D02EA"/>
    <w:rsid w:val="004D6F93"/>
    <w:rsid w:val="00515725"/>
    <w:rsid w:val="00525A18"/>
    <w:rsid w:val="00580E36"/>
    <w:rsid w:val="00581AD9"/>
    <w:rsid w:val="005F132B"/>
    <w:rsid w:val="00612AC9"/>
    <w:rsid w:val="00635626"/>
    <w:rsid w:val="00652583"/>
    <w:rsid w:val="006C15B7"/>
    <w:rsid w:val="00716BBB"/>
    <w:rsid w:val="00732E36"/>
    <w:rsid w:val="00764D1A"/>
    <w:rsid w:val="00776C29"/>
    <w:rsid w:val="00815820"/>
    <w:rsid w:val="00816B96"/>
    <w:rsid w:val="00854797"/>
    <w:rsid w:val="00854C4D"/>
    <w:rsid w:val="0087125A"/>
    <w:rsid w:val="00880768"/>
    <w:rsid w:val="00886DCF"/>
    <w:rsid w:val="008A2304"/>
    <w:rsid w:val="009356C2"/>
    <w:rsid w:val="009A7386"/>
    <w:rsid w:val="009A77B4"/>
    <w:rsid w:val="009E65DA"/>
    <w:rsid w:val="00A5046C"/>
    <w:rsid w:val="00A60FC8"/>
    <w:rsid w:val="00A64A0C"/>
    <w:rsid w:val="00A65EA3"/>
    <w:rsid w:val="00A70976"/>
    <w:rsid w:val="00AB5395"/>
    <w:rsid w:val="00AB6DCF"/>
    <w:rsid w:val="00AE15B9"/>
    <w:rsid w:val="00AE48A8"/>
    <w:rsid w:val="00AF01AF"/>
    <w:rsid w:val="00AF1FA7"/>
    <w:rsid w:val="00B01E5E"/>
    <w:rsid w:val="00B057C6"/>
    <w:rsid w:val="00B27BC6"/>
    <w:rsid w:val="00B520A8"/>
    <w:rsid w:val="00B70070"/>
    <w:rsid w:val="00BD518A"/>
    <w:rsid w:val="00BF231D"/>
    <w:rsid w:val="00C26B1F"/>
    <w:rsid w:val="00C324F3"/>
    <w:rsid w:val="00C51A95"/>
    <w:rsid w:val="00CC6EDD"/>
    <w:rsid w:val="00D03F4C"/>
    <w:rsid w:val="00D516FF"/>
    <w:rsid w:val="00D53280"/>
    <w:rsid w:val="00D616D3"/>
    <w:rsid w:val="00D95BEF"/>
    <w:rsid w:val="00E155D0"/>
    <w:rsid w:val="00E24AFD"/>
    <w:rsid w:val="00E45C48"/>
    <w:rsid w:val="00E56F62"/>
    <w:rsid w:val="00EB39FF"/>
    <w:rsid w:val="00EB568C"/>
    <w:rsid w:val="00F61865"/>
    <w:rsid w:val="00F93243"/>
    <w:rsid w:val="00F97128"/>
    <w:rsid w:val="00FE704A"/>
    <w:rsid w:val="00FF3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663C"/>
  <w15:docId w15:val="{DDC2AF0C-6496-4878-89F8-13243A37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431F"/>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te Heading"/>
    <w:basedOn w:val="a"/>
    <w:next w:val="a"/>
    <w:link w:val="a6"/>
    <w:uiPriority w:val="99"/>
    <w:unhideWhenUsed/>
    <w:rsid w:val="00CC6EDD"/>
    <w:rPr>
      <w:sz w:val="24"/>
    </w:rPr>
  </w:style>
  <w:style w:type="character" w:customStyle="1" w:styleId="a6">
    <w:name w:val="註釋標題 字元"/>
    <w:basedOn w:val="a0"/>
    <w:link w:val="a5"/>
    <w:uiPriority w:val="99"/>
    <w:rsid w:val="00CC6EDD"/>
    <w:rPr>
      <w:rFonts w:ascii="SimSun" w:eastAsia="SimSun" w:hAnsi="SimSun" w:cs="SimSun"/>
      <w:sz w:val="24"/>
      <w:lang w:eastAsia="zh-TW"/>
    </w:rPr>
  </w:style>
  <w:style w:type="paragraph" w:styleId="a7">
    <w:name w:val="Closing"/>
    <w:basedOn w:val="a"/>
    <w:link w:val="a8"/>
    <w:uiPriority w:val="99"/>
    <w:unhideWhenUsed/>
    <w:rsid w:val="00CC6EDD"/>
    <w:pPr>
      <w:ind w:left="4252"/>
    </w:pPr>
    <w:rPr>
      <w:sz w:val="24"/>
    </w:rPr>
  </w:style>
  <w:style w:type="character" w:customStyle="1" w:styleId="a8">
    <w:name w:val="結語 字元"/>
    <w:basedOn w:val="a0"/>
    <w:link w:val="a7"/>
    <w:uiPriority w:val="99"/>
    <w:rsid w:val="00CC6EDD"/>
    <w:rPr>
      <w:rFonts w:ascii="SimSun" w:eastAsia="SimSun" w:hAnsi="SimSun" w:cs="SimSun"/>
      <w:sz w:val="24"/>
      <w:lang w:eastAsia="zh-TW"/>
    </w:rPr>
  </w:style>
  <w:style w:type="paragraph" w:customStyle="1" w:styleId="Default">
    <w:name w:val="Default"/>
    <w:rsid w:val="00AF01AF"/>
    <w:pPr>
      <w:adjustRightInd w:val="0"/>
    </w:pPr>
    <w:rPr>
      <w:rFonts w:ascii="標楷體" w:eastAsia="標楷體" w:cs="標楷體"/>
      <w:color w:val="000000"/>
      <w:sz w:val="24"/>
      <w:szCs w:val="24"/>
      <w:lang w:eastAsia="zh-TW"/>
      <w14:ligatures w14:val="standardContextual"/>
    </w:rPr>
  </w:style>
  <w:style w:type="character" w:styleId="a9">
    <w:name w:val="annotation reference"/>
    <w:basedOn w:val="a0"/>
    <w:uiPriority w:val="99"/>
    <w:semiHidden/>
    <w:unhideWhenUsed/>
    <w:rsid w:val="00B70070"/>
    <w:rPr>
      <w:sz w:val="16"/>
      <w:szCs w:val="16"/>
    </w:rPr>
  </w:style>
  <w:style w:type="paragraph" w:styleId="aa">
    <w:name w:val="annotation text"/>
    <w:basedOn w:val="a"/>
    <w:link w:val="ab"/>
    <w:uiPriority w:val="99"/>
    <w:unhideWhenUsed/>
    <w:rsid w:val="00B70070"/>
    <w:rPr>
      <w:sz w:val="20"/>
      <w:szCs w:val="20"/>
    </w:rPr>
  </w:style>
  <w:style w:type="character" w:customStyle="1" w:styleId="ab">
    <w:name w:val="註解文字 字元"/>
    <w:basedOn w:val="a0"/>
    <w:link w:val="aa"/>
    <w:uiPriority w:val="99"/>
    <w:rsid w:val="00B70070"/>
    <w:rPr>
      <w:rFonts w:ascii="SimSun" w:eastAsia="SimSun" w:hAnsi="SimSun" w:cs="SimSun"/>
      <w:sz w:val="20"/>
      <w:szCs w:val="20"/>
      <w:lang w:eastAsia="zh-TW"/>
    </w:rPr>
  </w:style>
  <w:style w:type="paragraph" w:styleId="ac">
    <w:name w:val="annotation subject"/>
    <w:basedOn w:val="aa"/>
    <w:next w:val="aa"/>
    <w:link w:val="ad"/>
    <w:uiPriority w:val="99"/>
    <w:semiHidden/>
    <w:unhideWhenUsed/>
    <w:rsid w:val="00B70070"/>
    <w:rPr>
      <w:b/>
      <w:bCs/>
    </w:rPr>
  </w:style>
  <w:style w:type="character" w:customStyle="1" w:styleId="ad">
    <w:name w:val="註解主旨 字元"/>
    <w:basedOn w:val="ab"/>
    <w:link w:val="ac"/>
    <w:uiPriority w:val="99"/>
    <w:semiHidden/>
    <w:rsid w:val="00B70070"/>
    <w:rPr>
      <w:rFonts w:ascii="SimSun" w:eastAsia="SimSun" w:hAnsi="SimSun" w:cs="SimSun"/>
      <w:b/>
      <w:bCs/>
      <w:sz w:val="20"/>
      <w:szCs w:val="20"/>
      <w:lang w:eastAsia="zh-TW"/>
    </w:rPr>
  </w:style>
  <w:style w:type="paragraph" w:styleId="Web">
    <w:name w:val="Normal (Web)"/>
    <w:basedOn w:val="a"/>
    <w:uiPriority w:val="99"/>
    <w:semiHidden/>
    <w:unhideWhenUsed/>
    <w:rsid w:val="00401C1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ae">
    <w:name w:val="Strong"/>
    <w:basedOn w:val="a0"/>
    <w:uiPriority w:val="22"/>
    <w:qFormat/>
    <w:rsid w:val="00401C1B"/>
    <w:rPr>
      <w:b/>
      <w:bCs/>
    </w:rPr>
  </w:style>
  <w:style w:type="character" w:styleId="af">
    <w:name w:val="Emphasis"/>
    <w:basedOn w:val="a0"/>
    <w:uiPriority w:val="20"/>
    <w:qFormat/>
    <w:rsid w:val="00401C1B"/>
    <w:rPr>
      <w:i/>
      <w:iCs/>
    </w:rPr>
  </w:style>
  <w:style w:type="paragraph" w:styleId="af0">
    <w:name w:val="Revision"/>
    <w:hidden/>
    <w:uiPriority w:val="99"/>
    <w:semiHidden/>
    <w:rsid w:val="00580E36"/>
    <w:pPr>
      <w:widowControl/>
      <w:autoSpaceDE/>
      <w:autoSpaceDN/>
    </w:pPr>
    <w:rPr>
      <w:rFonts w:ascii="SimSun" w:eastAsia="SimSun" w:hAnsi="SimSun" w:cs="SimSun"/>
      <w:lang w:eastAsia="zh-TW"/>
    </w:rPr>
  </w:style>
  <w:style w:type="paragraph" w:styleId="af1">
    <w:name w:val="Balloon Text"/>
    <w:basedOn w:val="a"/>
    <w:link w:val="af2"/>
    <w:uiPriority w:val="99"/>
    <w:semiHidden/>
    <w:unhideWhenUsed/>
    <w:rsid w:val="00E24AFD"/>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E24AFD"/>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40700">
      <w:bodyDiv w:val="1"/>
      <w:marLeft w:val="0"/>
      <w:marRight w:val="0"/>
      <w:marTop w:val="0"/>
      <w:marBottom w:val="0"/>
      <w:divBdr>
        <w:top w:val="none" w:sz="0" w:space="0" w:color="auto"/>
        <w:left w:val="none" w:sz="0" w:space="0" w:color="auto"/>
        <w:bottom w:val="none" w:sz="0" w:space="0" w:color="auto"/>
        <w:right w:val="none" w:sz="0" w:space="0" w:color="auto"/>
      </w:divBdr>
      <w:divsChild>
        <w:div w:id="1453472238">
          <w:marLeft w:val="0"/>
          <w:marRight w:val="0"/>
          <w:marTop w:val="0"/>
          <w:marBottom w:val="0"/>
          <w:divBdr>
            <w:top w:val="none" w:sz="0" w:space="0" w:color="auto"/>
            <w:left w:val="none" w:sz="0" w:space="0" w:color="auto"/>
            <w:bottom w:val="none" w:sz="0" w:space="0" w:color="auto"/>
            <w:right w:val="none" w:sz="0" w:space="0" w:color="auto"/>
          </w:divBdr>
          <w:divsChild>
            <w:div w:id="525869648">
              <w:marLeft w:val="0"/>
              <w:marRight w:val="0"/>
              <w:marTop w:val="0"/>
              <w:marBottom w:val="0"/>
              <w:divBdr>
                <w:top w:val="none" w:sz="0" w:space="0" w:color="auto"/>
                <w:left w:val="none" w:sz="0" w:space="0" w:color="auto"/>
                <w:bottom w:val="none" w:sz="0" w:space="0" w:color="auto"/>
                <w:right w:val="none" w:sz="0" w:space="0" w:color="auto"/>
              </w:divBdr>
              <w:divsChild>
                <w:div w:id="1292589897">
                  <w:marLeft w:val="0"/>
                  <w:marRight w:val="0"/>
                  <w:marTop w:val="0"/>
                  <w:marBottom w:val="0"/>
                  <w:divBdr>
                    <w:top w:val="none" w:sz="0" w:space="0" w:color="auto"/>
                    <w:left w:val="none" w:sz="0" w:space="0" w:color="auto"/>
                    <w:bottom w:val="none" w:sz="0" w:space="0" w:color="auto"/>
                    <w:right w:val="none" w:sz="0" w:space="0" w:color="auto"/>
                  </w:divBdr>
                  <w:divsChild>
                    <w:div w:id="988439668">
                      <w:marLeft w:val="0"/>
                      <w:marRight w:val="0"/>
                      <w:marTop w:val="0"/>
                      <w:marBottom w:val="0"/>
                      <w:divBdr>
                        <w:top w:val="none" w:sz="0" w:space="0" w:color="auto"/>
                        <w:left w:val="none" w:sz="0" w:space="0" w:color="auto"/>
                        <w:bottom w:val="none" w:sz="0" w:space="0" w:color="auto"/>
                        <w:right w:val="none" w:sz="0" w:space="0" w:color="auto"/>
                      </w:divBdr>
                      <w:divsChild>
                        <w:div w:id="585383018">
                          <w:marLeft w:val="0"/>
                          <w:marRight w:val="0"/>
                          <w:marTop w:val="0"/>
                          <w:marBottom w:val="0"/>
                          <w:divBdr>
                            <w:top w:val="none" w:sz="0" w:space="0" w:color="auto"/>
                            <w:left w:val="none" w:sz="0" w:space="0" w:color="auto"/>
                            <w:bottom w:val="none" w:sz="0" w:space="0" w:color="auto"/>
                            <w:right w:val="none" w:sz="0" w:space="0" w:color="auto"/>
                          </w:divBdr>
                          <w:divsChild>
                            <w:div w:id="1986352945">
                              <w:marLeft w:val="0"/>
                              <w:marRight w:val="0"/>
                              <w:marTop w:val="0"/>
                              <w:marBottom w:val="0"/>
                              <w:divBdr>
                                <w:top w:val="none" w:sz="0" w:space="0" w:color="auto"/>
                                <w:left w:val="none" w:sz="0" w:space="0" w:color="auto"/>
                                <w:bottom w:val="none" w:sz="0" w:space="0" w:color="auto"/>
                                <w:right w:val="none" w:sz="0" w:space="0" w:color="auto"/>
                              </w:divBdr>
                              <w:divsChild>
                                <w:div w:id="1151216636">
                                  <w:marLeft w:val="0"/>
                                  <w:marRight w:val="0"/>
                                  <w:marTop w:val="0"/>
                                  <w:marBottom w:val="0"/>
                                  <w:divBdr>
                                    <w:top w:val="none" w:sz="0" w:space="0" w:color="auto"/>
                                    <w:left w:val="none" w:sz="0" w:space="0" w:color="auto"/>
                                    <w:bottom w:val="none" w:sz="0" w:space="0" w:color="auto"/>
                                    <w:right w:val="none" w:sz="0" w:space="0" w:color="auto"/>
                                  </w:divBdr>
                                  <w:divsChild>
                                    <w:div w:id="215170147">
                                      <w:marLeft w:val="0"/>
                                      <w:marRight w:val="0"/>
                                      <w:marTop w:val="0"/>
                                      <w:marBottom w:val="0"/>
                                      <w:divBdr>
                                        <w:top w:val="none" w:sz="0" w:space="0" w:color="auto"/>
                                        <w:left w:val="none" w:sz="0" w:space="0" w:color="auto"/>
                                        <w:bottom w:val="none" w:sz="0" w:space="0" w:color="auto"/>
                                        <w:right w:val="none" w:sz="0" w:space="0" w:color="auto"/>
                                      </w:divBdr>
                                      <w:divsChild>
                                        <w:div w:id="1668706579">
                                          <w:marLeft w:val="0"/>
                                          <w:marRight w:val="0"/>
                                          <w:marTop w:val="0"/>
                                          <w:marBottom w:val="0"/>
                                          <w:divBdr>
                                            <w:top w:val="none" w:sz="0" w:space="0" w:color="auto"/>
                                            <w:left w:val="none" w:sz="0" w:space="0" w:color="auto"/>
                                            <w:bottom w:val="none" w:sz="0" w:space="0" w:color="auto"/>
                                            <w:right w:val="none" w:sz="0" w:space="0" w:color="auto"/>
                                          </w:divBdr>
                                          <w:divsChild>
                                            <w:div w:id="1244098403">
                                              <w:marLeft w:val="0"/>
                                              <w:marRight w:val="0"/>
                                              <w:marTop w:val="0"/>
                                              <w:marBottom w:val="0"/>
                                              <w:divBdr>
                                                <w:top w:val="none" w:sz="0" w:space="0" w:color="auto"/>
                                                <w:left w:val="none" w:sz="0" w:space="0" w:color="auto"/>
                                                <w:bottom w:val="none" w:sz="0" w:space="0" w:color="auto"/>
                                                <w:right w:val="none" w:sz="0" w:space="0" w:color="auto"/>
                                              </w:divBdr>
                                              <w:divsChild>
                                                <w:div w:id="1035231230">
                                                  <w:marLeft w:val="0"/>
                                                  <w:marRight w:val="0"/>
                                                  <w:marTop w:val="0"/>
                                                  <w:marBottom w:val="0"/>
                                                  <w:divBdr>
                                                    <w:top w:val="none" w:sz="0" w:space="0" w:color="auto"/>
                                                    <w:left w:val="none" w:sz="0" w:space="0" w:color="auto"/>
                                                    <w:bottom w:val="none" w:sz="0" w:space="0" w:color="auto"/>
                                                    <w:right w:val="none" w:sz="0" w:space="0" w:color="auto"/>
                                                  </w:divBdr>
                                                  <w:divsChild>
                                                    <w:div w:id="599483587">
                                                      <w:marLeft w:val="0"/>
                                                      <w:marRight w:val="0"/>
                                                      <w:marTop w:val="0"/>
                                                      <w:marBottom w:val="0"/>
                                                      <w:divBdr>
                                                        <w:top w:val="none" w:sz="0" w:space="0" w:color="auto"/>
                                                        <w:left w:val="none" w:sz="0" w:space="0" w:color="auto"/>
                                                        <w:bottom w:val="none" w:sz="0" w:space="0" w:color="auto"/>
                                                        <w:right w:val="none" w:sz="0" w:space="0" w:color="auto"/>
                                                      </w:divBdr>
                                                      <w:divsChild>
                                                        <w:div w:id="1922791957">
                                                          <w:marLeft w:val="0"/>
                                                          <w:marRight w:val="0"/>
                                                          <w:marTop w:val="0"/>
                                                          <w:marBottom w:val="0"/>
                                                          <w:divBdr>
                                                            <w:top w:val="none" w:sz="0" w:space="0" w:color="auto"/>
                                                            <w:left w:val="none" w:sz="0" w:space="0" w:color="auto"/>
                                                            <w:bottom w:val="none" w:sz="0" w:space="0" w:color="auto"/>
                                                            <w:right w:val="none" w:sz="0" w:space="0" w:color="auto"/>
                                                          </w:divBdr>
                                                          <w:divsChild>
                                                            <w:div w:id="19809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9937421">
      <w:bodyDiv w:val="1"/>
      <w:marLeft w:val="0"/>
      <w:marRight w:val="0"/>
      <w:marTop w:val="0"/>
      <w:marBottom w:val="0"/>
      <w:divBdr>
        <w:top w:val="none" w:sz="0" w:space="0" w:color="auto"/>
        <w:left w:val="none" w:sz="0" w:space="0" w:color="auto"/>
        <w:bottom w:val="none" w:sz="0" w:space="0" w:color="auto"/>
        <w:right w:val="none" w:sz="0" w:space="0" w:color="auto"/>
      </w:divBdr>
      <w:divsChild>
        <w:div w:id="1577788018">
          <w:marLeft w:val="0"/>
          <w:marRight w:val="0"/>
          <w:marTop w:val="0"/>
          <w:marBottom w:val="0"/>
          <w:divBdr>
            <w:top w:val="none" w:sz="0" w:space="0" w:color="auto"/>
            <w:left w:val="none" w:sz="0" w:space="0" w:color="auto"/>
            <w:bottom w:val="none" w:sz="0" w:space="0" w:color="auto"/>
            <w:right w:val="none" w:sz="0" w:space="0" w:color="auto"/>
          </w:divBdr>
          <w:divsChild>
            <w:div w:id="1953513489">
              <w:marLeft w:val="0"/>
              <w:marRight w:val="0"/>
              <w:marTop w:val="0"/>
              <w:marBottom w:val="0"/>
              <w:divBdr>
                <w:top w:val="none" w:sz="0" w:space="0" w:color="auto"/>
                <w:left w:val="none" w:sz="0" w:space="0" w:color="auto"/>
                <w:bottom w:val="none" w:sz="0" w:space="0" w:color="auto"/>
                <w:right w:val="none" w:sz="0" w:space="0" w:color="auto"/>
              </w:divBdr>
              <w:divsChild>
                <w:div w:id="1813252330">
                  <w:marLeft w:val="0"/>
                  <w:marRight w:val="0"/>
                  <w:marTop w:val="0"/>
                  <w:marBottom w:val="0"/>
                  <w:divBdr>
                    <w:top w:val="none" w:sz="0" w:space="0" w:color="auto"/>
                    <w:left w:val="none" w:sz="0" w:space="0" w:color="auto"/>
                    <w:bottom w:val="none" w:sz="0" w:space="0" w:color="auto"/>
                    <w:right w:val="none" w:sz="0" w:space="0" w:color="auto"/>
                  </w:divBdr>
                  <w:divsChild>
                    <w:div w:id="1649557107">
                      <w:marLeft w:val="0"/>
                      <w:marRight w:val="0"/>
                      <w:marTop w:val="0"/>
                      <w:marBottom w:val="0"/>
                      <w:divBdr>
                        <w:top w:val="none" w:sz="0" w:space="0" w:color="auto"/>
                        <w:left w:val="none" w:sz="0" w:space="0" w:color="auto"/>
                        <w:bottom w:val="none" w:sz="0" w:space="0" w:color="auto"/>
                        <w:right w:val="none" w:sz="0" w:space="0" w:color="auto"/>
                      </w:divBdr>
                      <w:divsChild>
                        <w:div w:id="446200196">
                          <w:marLeft w:val="0"/>
                          <w:marRight w:val="0"/>
                          <w:marTop w:val="0"/>
                          <w:marBottom w:val="0"/>
                          <w:divBdr>
                            <w:top w:val="none" w:sz="0" w:space="0" w:color="auto"/>
                            <w:left w:val="none" w:sz="0" w:space="0" w:color="auto"/>
                            <w:bottom w:val="none" w:sz="0" w:space="0" w:color="auto"/>
                            <w:right w:val="none" w:sz="0" w:space="0" w:color="auto"/>
                          </w:divBdr>
                          <w:divsChild>
                            <w:div w:id="2053265505">
                              <w:marLeft w:val="0"/>
                              <w:marRight w:val="0"/>
                              <w:marTop w:val="0"/>
                              <w:marBottom w:val="0"/>
                              <w:divBdr>
                                <w:top w:val="none" w:sz="0" w:space="0" w:color="auto"/>
                                <w:left w:val="none" w:sz="0" w:space="0" w:color="auto"/>
                                <w:bottom w:val="none" w:sz="0" w:space="0" w:color="auto"/>
                                <w:right w:val="none" w:sz="0" w:space="0" w:color="auto"/>
                              </w:divBdr>
                              <w:divsChild>
                                <w:div w:id="617444233">
                                  <w:marLeft w:val="0"/>
                                  <w:marRight w:val="0"/>
                                  <w:marTop w:val="0"/>
                                  <w:marBottom w:val="0"/>
                                  <w:divBdr>
                                    <w:top w:val="none" w:sz="0" w:space="0" w:color="auto"/>
                                    <w:left w:val="none" w:sz="0" w:space="0" w:color="auto"/>
                                    <w:bottom w:val="none" w:sz="0" w:space="0" w:color="auto"/>
                                    <w:right w:val="none" w:sz="0" w:space="0" w:color="auto"/>
                                  </w:divBdr>
                                  <w:divsChild>
                                    <w:div w:id="1504392910">
                                      <w:marLeft w:val="0"/>
                                      <w:marRight w:val="0"/>
                                      <w:marTop w:val="0"/>
                                      <w:marBottom w:val="0"/>
                                      <w:divBdr>
                                        <w:top w:val="none" w:sz="0" w:space="0" w:color="auto"/>
                                        <w:left w:val="none" w:sz="0" w:space="0" w:color="auto"/>
                                        <w:bottom w:val="none" w:sz="0" w:space="0" w:color="auto"/>
                                        <w:right w:val="none" w:sz="0" w:space="0" w:color="auto"/>
                                      </w:divBdr>
                                      <w:divsChild>
                                        <w:div w:id="2059158995">
                                          <w:marLeft w:val="0"/>
                                          <w:marRight w:val="0"/>
                                          <w:marTop w:val="0"/>
                                          <w:marBottom w:val="0"/>
                                          <w:divBdr>
                                            <w:top w:val="none" w:sz="0" w:space="0" w:color="auto"/>
                                            <w:left w:val="none" w:sz="0" w:space="0" w:color="auto"/>
                                            <w:bottom w:val="none" w:sz="0" w:space="0" w:color="auto"/>
                                            <w:right w:val="none" w:sz="0" w:space="0" w:color="auto"/>
                                          </w:divBdr>
                                          <w:divsChild>
                                            <w:div w:id="1156074458">
                                              <w:marLeft w:val="0"/>
                                              <w:marRight w:val="0"/>
                                              <w:marTop w:val="0"/>
                                              <w:marBottom w:val="0"/>
                                              <w:divBdr>
                                                <w:top w:val="none" w:sz="0" w:space="0" w:color="auto"/>
                                                <w:left w:val="none" w:sz="0" w:space="0" w:color="auto"/>
                                                <w:bottom w:val="none" w:sz="0" w:space="0" w:color="auto"/>
                                                <w:right w:val="none" w:sz="0" w:space="0" w:color="auto"/>
                                              </w:divBdr>
                                              <w:divsChild>
                                                <w:div w:id="30303701">
                                                  <w:marLeft w:val="0"/>
                                                  <w:marRight w:val="0"/>
                                                  <w:marTop w:val="0"/>
                                                  <w:marBottom w:val="0"/>
                                                  <w:divBdr>
                                                    <w:top w:val="none" w:sz="0" w:space="0" w:color="auto"/>
                                                    <w:left w:val="none" w:sz="0" w:space="0" w:color="auto"/>
                                                    <w:bottom w:val="none" w:sz="0" w:space="0" w:color="auto"/>
                                                    <w:right w:val="none" w:sz="0" w:space="0" w:color="auto"/>
                                                  </w:divBdr>
                                                  <w:divsChild>
                                                    <w:div w:id="1066992994">
                                                      <w:marLeft w:val="0"/>
                                                      <w:marRight w:val="0"/>
                                                      <w:marTop w:val="0"/>
                                                      <w:marBottom w:val="0"/>
                                                      <w:divBdr>
                                                        <w:top w:val="none" w:sz="0" w:space="0" w:color="auto"/>
                                                        <w:left w:val="none" w:sz="0" w:space="0" w:color="auto"/>
                                                        <w:bottom w:val="none" w:sz="0" w:space="0" w:color="auto"/>
                                                        <w:right w:val="none" w:sz="0" w:space="0" w:color="auto"/>
                                                      </w:divBdr>
                                                      <w:divsChild>
                                                        <w:div w:id="468791755">
                                                          <w:marLeft w:val="0"/>
                                                          <w:marRight w:val="0"/>
                                                          <w:marTop w:val="0"/>
                                                          <w:marBottom w:val="0"/>
                                                          <w:divBdr>
                                                            <w:top w:val="none" w:sz="0" w:space="0" w:color="auto"/>
                                                            <w:left w:val="none" w:sz="0" w:space="0" w:color="auto"/>
                                                            <w:bottom w:val="none" w:sz="0" w:space="0" w:color="auto"/>
                                                            <w:right w:val="none" w:sz="0" w:space="0" w:color="auto"/>
                                                          </w:divBdr>
                                                          <w:divsChild>
                                                            <w:div w:id="5986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2582326">
      <w:bodyDiv w:val="1"/>
      <w:marLeft w:val="0"/>
      <w:marRight w:val="0"/>
      <w:marTop w:val="0"/>
      <w:marBottom w:val="0"/>
      <w:divBdr>
        <w:top w:val="none" w:sz="0" w:space="0" w:color="auto"/>
        <w:left w:val="none" w:sz="0" w:space="0" w:color="auto"/>
        <w:bottom w:val="none" w:sz="0" w:space="0" w:color="auto"/>
        <w:right w:val="none" w:sz="0" w:space="0" w:color="auto"/>
      </w:divBdr>
      <w:divsChild>
        <w:div w:id="1691762887">
          <w:marLeft w:val="0"/>
          <w:marRight w:val="0"/>
          <w:marTop w:val="0"/>
          <w:marBottom w:val="0"/>
          <w:divBdr>
            <w:top w:val="none" w:sz="0" w:space="0" w:color="auto"/>
            <w:left w:val="none" w:sz="0" w:space="0" w:color="auto"/>
            <w:bottom w:val="none" w:sz="0" w:space="0" w:color="auto"/>
            <w:right w:val="none" w:sz="0" w:space="0" w:color="auto"/>
          </w:divBdr>
          <w:divsChild>
            <w:div w:id="632558366">
              <w:marLeft w:val="0"/>
              <w:marRight w:val="0"/>
              <w:marTop w:val="0"/>
              <w:marBottom w:val="0"/>
              <w:divBdr>
                <w:top w:val="none" w:sz="0" w:space="0" w:color="auto"/>
                <w:left w:val="none" w:sz="0" w:space="0" w:color="auto"/>
                <w:bottom w:val="none" w:sz="0" w:space="0" w:color="auto"/>
                <w:right w:val="none" w:sz="0" w:space="0" w:color="auto"/>
              </w:divBdr>
              <w:divsChild>
                <w:div w:id="394475458">
                  <w:marLeft w:val="0"/>
                  <w:marRight w:val="0"/>
                  <w:marTop w:val="0"/>
                  <w:marBottom w:val="0"/>
                  <w:divBdr>
                    <w:top w:val="none" w:sz="0" w:space="0" w:color="auto"/>
                    <w:left w:val="none" w:sz="0" w:space="0" w:color="auto"/>
                    <w:bottom w:val="none" w:sz="0" w:space="0" w:color="auto"/>
                    <w:right w:val="none" w:sz="0" w:space="0" w:color="auto"/>
                  </w:divBdr>
                  <w:divsChild>
                    <w:div w:id="659308295">
                      <w:marLeft w:val="0"/>
                      <w:marRight w:val="0"/>
                      <w:marTop w:val="0"/>
                      <w:marBottom w:val="0"/>
                      <w:divBdr>
                        <w:top w:val="none" w:sz="0" w:space="0" w:color="auto"/>
                        <w:left w:val="none" w:sz="0" w:space="0" w:color="auto"/>
                        <w:bottom w:val="none" w:sz="0" w:space="0" w:color="auto"/>
                        <w:right w:val="none" w:sz="0" w:space="0" w:color="auto"/>
                      </w:divBdr>
                      <w:divsChild>
                        <w:div w:id="1040860583">
                          <w:marLeft w:val="0"/>
                          <w:marRight w:val="0"/>
                          <w:marTop w:val="0"/>
                          <w:marBottom w:val="0"/>
                          <w:divBdr>
                            <w:top w:val="none" w:sz="0" w:space="0" w:color="auto"/>
                            <w:left w:val="none" w:sz="0" w:space="0" w:color="auto"/>
                            <w:bottom w:val="none" w:sz="0" w:space="0" w:color="auto"/>
                            <w:right w:val="none" w:sz="0" w:space="0" w:color="auto"/>
                          </w:divBdr>
                          <w:divsChild>
                            <w:div w:id="1075472883">
                              <w:marLeft w:val="0"/>
                              <w:marRight w:val="0"/>
                              <w:marTop w:val="0"/>
                              <w:marBottom w:val="0"/>
                              <w:divBdr>
                                <w:top w:val="none" w:sz="0" w:space="0" w:color="auto"/>
                                <w:left w:val="none" w:sz="0" w:space="0" w:color="auto"/>
                                <w:bottom w:val="none" w:sz="0" w:space="0" w:color="auto"/>
                                <w:right w:val="none" w:sz="0" w:space="0" w:color="auto"/>
                              </w:divBdr>
                              <w:divsChild>
                                <w:div w:id="1554926886">
                                  <w:marLeft w:val="0"/>
                                  <w:marRight w:val="0"/>
                                  <w:marTop w:val="0"/>
                                  <w:marBottom w:val="0"/>
                                  <w:divBdr>
                                    <w:top w:val="none" w:sz="0" w:space="0" w:color="auto"/>
                                    <w:left w:val="none" w:sz="0" w:space="0" w:color="auto"/>
                                    <w:bottom w:val="none" w:sz="0" w:space="0" w:color="auto"/>
                                    <w:right w:val="none" w:sz="0" w:space="0" w:color="auto"/>
                                  </w:divBdr>
                                  <w:divsChild>
                                    <w:div w:id="1109855942">
                                      <w:marLeft w:val="0"/>
                                      <w:marRight w:val="0"/>
                                      <w:marTop w:val="0"/>
                                      <w:marBottom w:val="0"/>
                                      <w:divBdr>
                                        <w:top w:val="none" w:sz="0" w:space="0" w:color="auto"/>
                                        <w:left w:val="none" w:sz="0" w:space="0" w:color="auto"/>
                                        <w:bottom w:val="none" w:sz="0" w:space="0" w:color="auto"/>
                                        <w:right w:val="none" w:sz="0" w:space="0" w:color="auto"/>
                                      </w:divBdr>
                                      <w:divsChild>
                                        <w:div w:id="288974093">
                                          <w:marLeft w:val="0"/>
                                          <w:marRight w:val="0"/>
                                          <w:marTop w:val="0"/>
                                          <w:marBottom w:val="0"/>
                                          <w:divBdr>
                                            <w:top w:val="none" w:sz="0" w:space="0" w:color="auto"/>
                                            <w:left w:val="none" w:sz="0" w:space="0" w:color="auto"/>
                                            <w:bottom w:val="none" w:sz="0" w:space="0" w:color="auto"/>
                                            <w:right w:val="none" w:sz="0" w:space="0" w:color="auto"/>
                                          </w:divBdr>
                                          <w:divsChild>
                                            <w:div w:id="1247809951">
                                              <w:marLeft w:val="0"/>
                                              <w:marRight w:val="0"/>
                                              <w:marTop w:val="0"/>
                                              <w:marBottom w:val="0"/>
                                              <w:divBdr>
                                                <w:top w:val="none" w:sz="0" w:space="0" w:color="auto"/>
                                                <w:left w:val="none" w:sz="0" w:space="0" w:color="auto"/>
                                                <w:bottom w:val="none" w:sz="0" w:space="0" w:color="auto"/>
                                                <w:right w:val="none" w:sz="0" w:space="0" w:color="auto"/>
                                              </w:divBdr>
                                              <w:divsChild>
                                                <w:div w:id="816344180">
                                                  <w:marLeft w:val="0"/>
                                                  <w:marRight w:val="0"/>
                                                  <w:marTop w:val="0"/>
                                                  <w:marBottom w:val="0"/>
                                                  <w:divBdr>
                                                    <w:top w:val="none" w:sz="0" w:space="0" w:color="auto"/>
                                                    <w:left w:val="none" w:sz="0" w:space="0" w:color="auto"/>
                                                    <w:bottom w:val="none" w:sz="0" w:space="0" w:color="auto"/>
                                                    <w:right w:val="none" w:sz="0" w:space="0" w:color="auto"/>
                                                  </w:divBdr>
                                                  <w:divsChild>
                                                    <w:div w:id="2099137516">
                                                      <w:marLeft w:val="0"/>
                                                      <w:marRight w:val="0"/>
                                                      <w:marTop w:val="0"/>
                                                      <w:marBottom w:val="0"/>
                                                      <w:divBdr>
                                                        <w:top w:val="none" w:sz="0" w:space="0" w:color="auto"/>
                                                        <w:left w:val="none" w:sz="0" w:space="0" w:color="auto"/>
                                                        <w:bottom w:val="none" w:sz="0" w:space="0" w:color="auto"/>
                                                        <w:right w:val="none" w:sz="0" w:space="0" w:color="auto"/>
                                                      </w:divBdr>
                                                      <w:divsChild>
                                                        <w:div w:id="541940585">
                                                          <w:marLeft w:val="0"/>
                                                          <w:marRight w:val="0"/>
                                                          <w:marTop w:val="0"/>
                                                          <w:marBottom w:val="0"/>
                                                          <w:divBdr>
                                                            <w:top w:val="none" w:sz="0" w:space="0" w:color="auto"/>
                                                            <w:left w:val="none" w:sz="0" w:space="0" w:color="auto"/>
                                                            <w:bottom w:val="none" w:sz="0" w:space="0" w:color="auto"/>
                                                            <w:right w:val="none" w:sz="0" w:space="0" w:color="auto"/>
                                                          </w:divBdr>
                                                          <w:divsChild>
                                                            <w:div w:id="18453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922488">
      <w:bodyDiv w:val="1"/>
      <w:marLeft w:val="0"/>
      <w:marRight w:val="0"/>
      <w:marTop w:val="0"/>
      <w:marBottom w:val="0"/>
      <w:divBdr>
        <w:top w:val="none" w:sz="0" w:space="0" w:color="auto"/>
        <w:left w:val="none" w:sz="0" w:space="0" w:color="auto"/>
        <w:bottom w:val="none" w:sz="0" w:space="0" w:color="auto"/>
        <w:right w:val="none" w:sz="0" w:space="0" w:color="auto"/>
      </w:divBdr>
      <w:divsChild>
        <w:div w:id="1927692130">
          <w:marLeft w:val="0"/>
          <w:marRight w:val="0"/>
          <w:marTop w:val="0"/>
          <w:marBottom w:val="0"/>
          <w:divBdr>
            <w:top w:val="none" w:sz="0" w:space="0" w:color="auto"/>
            <w:left w:val="none" w:sz="0" w:space="0" w:color="auto"/>
            <w:bottom w:val="none" w:sz="0" w:space="0" w:color="auto"/>
            <w:right w:val="none" w:sz="0" w:space="0" w:color="auto"/>
          </w:divBdr>
          <w:divsChild>
            <w:div w:id="530849016">
              <w:marLeft w:val="0"/>
              <w:marRight w:val="0"/>
              <w:marTop w:val="0"/>
              <w:marBottom w:val="0"/>
              <w:divBdr>
                <w:top w:val="none" w:sz="0" w:space="0" w:color="auto"/>
                <w:left w:val="none" w:sz="0" w:space="0" w:color="auto"/>
                <w:bottom w:val="none" w:sz="0" w:space="0" w:color="auto"/>
                <w:right w:val="none" w:sz="0" w:space="0" w:color="auto"/>
              </w:divBdr>
              <w:divsChild>
                <w:div w:id="459542723">
                  <w:marLeft w:val="0"/>
                  <w:marRight w:val="0"/>
                  <w:marTop w:val="0"/>
                  <w:marBottom w:val="0"/>
                  <w:divBdr>
                    <w:top w:val="none" w:sz="0" w:space="0" w:color="auto"/>
                    <w:left w:val="none" w:sz="0" w:space="0" w:color="auto"/>
                    <w:bottom w:val="none" w:sz="0" w:space="0" w:color="auto"/>
                    <w:right w:val="none" w:sz="0" w:space="0" w:color="auto"/>
                  </w:divBdr>
                  <w:divsChild>
                    <w:div w:id="213929727">
                      <w:marLeft w:val="0"/>
                      <w:marRight w:val="0"/>
                      <w:marTop w:val="0"/>
                      <w:marBottom w:val="0"/>
                      <w:divBdr>
                        <w:top w:val="none" w:sz="0" w:space="0" w:color="auto"/>
                        <w:left w:val="none" w:sz="0" w:space="0" w:color="auto"/>
                        <w:bottom w:val="none" w:sz="0" w:space="0" w:color="auto"/>
                        <w:right w:val="none" w:sz="0" w:space="0" w:color="auto"/>
                      </w:divBdr>
                      <w:divsChild>
                        <w:div w:id="979113305">
                          <w:marLeft w:val="0"/>
                          <w:marRight w:val="0"/>
                          <w:marTop w:val="0"/>
                          <w:marBottom w:val="0"/>
                          <w:divBdr>
                            <w:top w:val="none" w:sz="0" w:space="0" w:color="auto"/>
                            <w:left w:val="none" w:sz="0" w:space="0" w:color="auto"/>
                            <w:bottom w:val="none" w:sz="0" w:space="0" w:color="auto"/>
                            <w:right w:val="none" w:sz="0" w:space="0" w:color="auto"/>
                          </w:divBdr>
                          <w:divsChild>
                            <w:div w:id="128137488">
                              <w:marLeft w:val="0"/>
                              <w:marRight w:val="0"/>
                              <w:marTop w:val="0"/>
                              <w:marBottom w:val="0"/>
                              <w:divBdr>
                                <w:top w:val="none" w:sz="0" w:space="0" w:color="auto"/>
                                <w:left w:val="none" w:sz="0" w:space="0" w:color="auto"/>
                                <w:bottom w:val="none" w:sz="0" w:space="0" w:color="auto"/>
                                <w:right w:val="none" w:sz="0" w:space="0" w:color="auto"/>
                              </w:divBdr>
                              <w:divsChild>
                                <w:div w:id="1544436930">
                                  <w:marLeft w:val="0"/>
                                  <w:marRight w:val="0"/>
                                  <w:marTop w:val="0"/>
                                  <w:marBottom w:val="0"/>
                                  <w:divBdr>
                                    <w:top w:val="none" w:sz="0" w:space="0" w:color="auto"/>
                                    <w:left w:val="none" w:sz="0" w:space="0" w:color="auto"/>
                                    <w:bottom w:val="none" w:sz="0" w:space="0" w:color="auto"/>
                                    <w:right w:val="none" w:sz="0" w:space="0" w:color="auto"/>
                                  </w:divBdr>
                                  <w:divsChild>
                                    <w:div w:id="944383601">
                                      <w:marLeft w:val="0"/>
                                      <w:marRight w:val="0"/>
                                      <w:marTop w:val="0"/>
                                      <w:marBottom w:val="0"/>
                                      <w:divBdr>
                                        <w:top w:val="none" w:sz="0" w:space="0" w:color="auto"/>
                                        <w:left w:val="none" w:sz="0" w:space="0" w:color="auto"/>
                                        <w:bottom w:val="none" w:sz="0" w:space="0" w:color="auto"/>
                                        <w:right w:val="none" w:sz="0" w:space="0" w:color="auto"/>
                                      </w:divBdr>
                                      <w:divsChild>
                                        <w:div w:id="1798522086">
                                          <w:marLeft w:val="0"/>
                                          <w:marRight w:val="0"/>
                                          <w:marTop w:val="0"/>
                                          <w:marBottom w:val="0"/>
                                          <w:divBdr>
                                            <w:top w:val="none" w:sz="0" w:space="0" w:color="auto"/>
                                            <w:left w:val="none" w:sz="0" w:space="0" w:color="auto"/>
                                            <w:bottom w:val="none" w:sz="0" w:space="0" w:color="auto"/>
                                            <w:right w:val="none" w:sz="0" w:space="0" w:color="auto"/>
                                          </w:divBdr>
                                          <w:divsChild>
                                            <w:div w:id="219832486">
                                              <w:marLeft w:val="0"/>
                                              <w:marRight w:val="0"/>
                                              <w:marTop w:val="0"/>
                                              <w:marBottom w:val="0"/>
                                              <w:divBdr>
                                                <w:top w:val="none" w:sz="0" w:space="0" w:color="auto"/>
                                                <w:left w:val="none" w:sz="0" w:space="0" w:color="auto"/>
                                                <w:bottom w:val="none" w:sz="0" w:space="0" w:color="auto"/>
                                                <w:right w:val="none" w:sz="0" w:space="0" w:color="auto"/>
                                              </w:divBdr>
                                              <w:divsChild>
                                                <w:div w:id="600838826">
                                                  <w:marLeft w:val="0"/>
                                                  <w:marRight w:val="0"/>
                                                  <w:marTop w:val="0"/>
                                                  <w:marBottom w:val="0"/>
                                                  <w:divBdr>
                                                    <w:top w:val="none" w:sz="0" w:space="0" w:color="auto"/>
                                                    <w:left w:val="none" w:sz="0" w:space="0" w:color="auto"/>
                                                    <w:bottom w:val="none" w:sz="0" w:space="0" w:color="auto"/>
                                                    <w:right w:val="none" w:sz="0" w:space="0" w:color="auto"/>
                                                  </w:divBdr>
                                                  <w:divsChild>
                                                    <w:div w:id="1075738970">
                                                      <w:marLeft w:val="0"/>
                                                      <w:marRight w:val="0"/>
                                                      <w:marTop w:val="0"/>
                                                      <w:marBottom w:val="0"/>
                                                      <w:divBdr>
                                                        <w:top w:val="none" w:sz="0" w:space="0" w:color="auto"/>
                                                        <w:left w:val="none" w:sz="0" w:space="0" w:color="auto"/>
                                                        <w:bottom w:val="none" w:sz="0" w:space="0" w:color="auto"/>
                                                        <w:right w:val="none" w:sz="0" w:space="0" w:color="auto"/>
                                                      </w:divBdr>
                                                      <w:divsChild>
                                                        <w:div w:id="410273228">
                                                          <w:marLeft w:val="0"/>
                                                          <w:marRight w:val="0"/>
                                                          <w:marTop w:val="0"/>
                                                          <w:marBottom w:val="0"/>
                                                          <w:divBdr>
                                                            <w:top w:val="none" w:sz="0" w:space="0" w:color="auto"/>
                                                            <w:left w:val="none" w:sz="0" w:space="0" w:color="auto"/>
                                                            <w:bottom w:val="none" w:sz="0" w:space="0" w:color="auto"/>
                                                            <w:right w:val="none" w:sz="0" w:space="0" w:color="auto"/>
                                                          </w:divBdr>
                                                          <w:divsChild>
                                                            <w:div w:id="6086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3992321">
      <w:bodyDiv w:val="1"/>
      <w:marLeft w:val="0"/>
      <w:marRight w:val="0"/>
      <w:marTop w:val="0"/>
      <w:marBottom w:val="0"/>
      <w:divBdr>
        <w:top w:val="none" w:sz="0" w:space="0" w:color="auto"/>
        <w:left w:val="none" w:sz="0" w:space="0" w:color="auto"/>
        <w:bottom w:val="none" w:sz="0" w:space="0" w:color="auto"/>
        <w:right w:val="none" w:sz="0" w:space="0" w:color="auto"/>
      </w:divBdr>
      <w:divsChild>
        <w:div w:id="951207178">
          <w:marLeft w:val="0"/>
          <w:marRight w:val="0"/>
          <w:marTop w:val="0"/>
          <w:marBottom w:val="0"/>
          <w:divBdr>
            <w:top w:val="none" w:sz="0" w:space="0" w:color="auto"/>
            <w:left w:val="none" w:sz="0" w:space="0" w:color="auto"/>
            <w:bottom w:val="none" w:sz="0" w:space="0" w:color="auto"/>
            <w:right w:val="none" w:sz="0" w:space="0" w:color="auto"/>
          </w:divBdr>
          <w:divsChild>
            <w:div w:id="1399672102">
              <w:marLeft w:val="0"/>
              <w:marRight w:val="0"/>
              <w:marTop w:val="0"/>
              <w:marBottom w:val="0"/>
              <w:divBdr>
                <w:top w:val="none" w:sz="0" w:space="0" w:color="auto"/>
                <w:left w:val="none" w:sz="0" w:space="0" w:color="auto"/>
                <w:bottom w:val="none" w:sz="0" w:space="0" w:color="auto"/>
                <w:right w:val="none" w:sz="0" w:space="0" w:color="auto"/>
              </w:divBdr>
              <w:divsChild>
                <w:div w:id="552277402">
                  <w:marLeft w:val="0"/>
                  <w:marRight w:val="0"/>
                  <w:marTop w:val="0"/>
                  <w:marBottom w:val="0"/>
                  <w:divBdr>
                    <w:top w:val="none" w:sz="0" w:space="0" w:color="auto"/>
                    <w:left w:val="none" w:sz="0" w:space="0" w:color="auto"/>
                    <w:bottom w:val="none" w:sz="0" w:space="0" w:color="auto"/>
                    <w:right w:val="none" w:sz="0" w:space="0" w:color="auto"/>
                  </w:divBdr>
                  <w:divsChild>
                    <w:div w:id="647441225">
                      <w:marLeft w:val="0"/>
                      <w:marRight w:val="0"/>
                      <w:marTop w:val="0"/>
                      <w:marBottom w:val="0"/>
                      <w:divBdr>
                        <w:top w:val="none" w:sz="0" w:space="0" w:color="auto"/>
                        <w:left w:val="none" w:sz="0" w:space="0" w:color="auto"/>
                        <w:bottom w:val="none" w:sz="0" w:space="0" w:color="auto"/>
                        <w:right w:val="none" w:sz="0" w:space="0" w:color="auto"/>
                      </w:divBdr>
                      <w:divsChild>
                        <w:div w:id="427969279">
                          <w:marLeft w:val="0"/>
                          <w:marRight w:val="0"/>
                          <w:marTop w:val="0"/>
                          <w:marBottom w:val="0"/>
                          <w:divBdr>
                            <w:top w:val="none" w:sz="0" w:space="0" w:color="auto"/>
                            <w:left w:val="none" w:sz="0" w:space="0" w:color="auto"/>
                            <w:bottom w:val="none" w:sz="0" w:space="0" w:color="auto"/>
                            <w:right w:val="none" w:sz="0" w:space="0" w:color="auto"/>
                          </w:divBdr>
                          <w:divsChild>
                            <w:div w:id="1744572071">
                              <w:marLeft w:val="0"/>
                              <w:marRight w:val="0"/>
                              <w:marTop w:val="0"/>
                              <w:marBottom w:val="0"/>
                              <w:divBdr>
                                <w:top w:val="none" w:sz="0" w:space="0" w:color="auto"/>
                                <w:left w:val="none" w:sz="0" w:space="0" w:color="auto"/>
                                <w:bottom w:val="none" w:sz="0" w:space="0" w:color="auto"/>
                                <w:right w:val="none" w:sz="0" w:space="0" w:color="auto"/>
                              </w:divBdr>
                              <w:divsChild>
                                <w:div w:id="730932039">
                                  <w:marLeft w:val="0"/>
                                  <w:marRight w:val="0"/>
                                  <w:marTop w:val="0"/>
                                  <w:marBottom w:val="0"/>
                                  <w:divBdr>
                                    <w:top w:val="none" w:sz="0" w:space="0" w:color="auto"/>
                                    <w:left w:val="none" w:sz="0" w:space="0" w:color="auto"/>
                                    <w:bottom w:val="none" w:sz="0" w:space="0" w:color="auto"/>
                                    <w:right w:val="none" w:sz="0" w:space="0" w:color="auto"/>
                                  </w:divBdr>
                                  <w:divsChild>
                                    <w:div w:id="1992977547">
                                      <w:marLeft w:val="0"/>
                                      <w:marRight w:val="0"/>
                                      <w:marTop w:val="0"/>
                                      <w:marBottom w:val="0"/>
                                      <w:divBdr>
                                        <w:top w:val="none" w:sz="0" w:space="0" w:color="auto"/>
                                        <w:left w:val="none" w:sz="0" w:space="0" w:color="auto"/>
                                        <w:bottom w:val="none" w:sz="0" w:space="0" w:color="auto"/>
                                        <w:right w:val="none" w:sz="0" w:space="0" w:color="auto"/>
                                      </w:divBdr>
                                      <w:divsChild>
                                        <w:div w:id="1549565377">
                                          <w:marLeft w:val="0"/>
                                          <w:marRight w:val="0"/>
                                          <w:marTop w:val="0"/>
                                          <w:marBottom w:val="0"/>
                                          <w:divBdr>
                                            <w:top w:val="none" w:sz="0" w:space="0" w:color="auto"/>
                                            <w:left w:val="none" w:sz="0" w:space="0" w:color="auto"/>
                                            <w:bottom w:val="none" w:sz="0" w:space="0" w:color="auto"/>
                                            <w:right w:val="none" w:sz="0" w:space="0" w:color="auto"/>
                                          </w:divBdr>
                                          <w:divsChild>
                                            <w:div w:id="1681202153">
                                              <w:marLeft w:val="0"/>
                                              <w:marRight w:val="0"/>
                                              <w:marTop w:val="0"/>
                                              <w:marBottom w:val="0"/>
                                              <w:divBdr>
                                                <w:top w:val="none" w:sz="0" w:space="0" w:color="auto"/>
                                                <w:left w:val="none" w:sz="0" w:space="0" w:color="auto"/>
                                                <w:bottom w:val="none" w:sz="0" w:space="0" w:color="auto"/>
                                                <w:right w:val="none" w:sz="0" w:space="0" w:color="auto"/>
                                              </w:divBdr>
                                              <w:divsChild>
                                                <w:div w:id="1313749489">
                                                  <w:marLeft w:val="0"/>
                                                  <w:marRight w:val="0"/>
                                                  <w:marTop w:val="0"/>
                                                  <w:marBottom w:val="0"/>
                                                  <w:divBdr>
                                                    <w:top w:val="none" w:sz="0" w:space="0" w:color="auto"/>
                                                    <w:left w:val="none" w:sz="0" w:space="0" w:color="auto"/>
                                                    <w:bottom w:val="none" w:sz="0" w:space="0" w:color="auto"/>
                                                    <w:right w:val="none" w:sz="0" w:space="0" w:color="auto"/>
                                                  </w:divBdr>
                                                  <w:divsChild>
                                                    <w:div w:id="841554044">
                                                      <w:marLeft w:val="0"/>
                                                      <w:marRight w:val="0"/>
                                                      <w:marTop w:val="0"/>
                                                      <w:marBottom w:val="0"/>
                                                      <w:divBdr>
                                                        <w:top w:val="none" w:sz="0" w:space="0" w:color="auto"/>
                                                        <w:left w:val="none" w:sz="0" w:space="0" w:color="auto"/>
                                                        <w:bottom w:val="none" w:sz="0" w:space="0" w:color="auto"/>
                                                        <w:right w:val="none" w:sz="0" w:space="0" w:color="auto"/>
                                                      </w:divBdr>
                                                      <w:divsChild>
                                                        <w:div w:id="684795581">
                                                          <w:marLeft w:val="0"/>
                                                          <w:marRight w:val="0"/>
                                                          <w:marTop w:val="0"/>
                                                          <w:marBottom w:val="0"/>
                                                          <w:divBdr>
                                                            <w:top w:val="none" w:sz="0" w:space="0" w:color="auto"/>
                                                            <w:left w:val="none" w:sz="0" w:space="0" w:color="auto"/>
                                                            <w:bottom w:val="none" w:sz="0" w:space="0" w:color="auto"/>
                                                            <w:right w:val="none" w:sz="0" w:space="0" w:color="auto"/>
                                                          </w:divBdr>
                                                          <w:divsChild>
                                                            <w:div w:id="16004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10199">
      <w:bodyDiv w:val="1"/>
      <w:marLeft w:val="0"/>
      <w:marRight w:val="0"/>
      <w:marTop w:val="0"/>
      <w:marBottom w:val="0"/>
      <w:divBdr>
        <w:top w:val="none" w:sz="0" w:space="0" w:color="auto"/>
        <w:left w:val="none" w:sz="0" w:space="0" w:color="auto"/>
        <w:bottom w:val="none" w:sz="0" w:space="0" w:color="auto"/>
        <w:right w:val="none" w:sz="0" w:space="0" w:color="auto"/>
      </w:divBdr>
    </w:div>
    <w:div w:id="1284458931">
      <w:bodyDiv w:val="1"/>
      <w:marLeft w:val="0"/>
      <w:marRight w:val="0"/>
      <w:marTop w:val="0"/>
      <w:marBottom w:val="0"/>
      <w:divBdr>
        <w:top w:val="none" w:sz="0" w:space="0" w:color="auto"/>
        <w:left w:val="none" w:sz="0" w:space="0" w:color="auto"/>
        <w:bottom w:val="none" w:sz="0" w:space="0" w:color="auto"/>
        <w:right w:val="none" w:sz="0" w:space="0" w:color="auto"/>
      </w:divBdr>
    </w:div>
    <w:div w:id="1687635814">
      <w:bodyDiv w:val="1"/>
      <w:marLeft w:val="0"/>
      <w:marRight w:val="0"/>
      <w:marTop w:val="0"/>
      <w:marBottom w:val="0"/>
      <w:divBdr>
        <w:top w:val="none" w:sz="0" w:space="0" w:color="auto"/>
        <w:left w:val="none" w:sz="0" w:space="0" w:color="auto"/>
        <w:bottom w:val="none" w:sz="0" w:space="0" w:color="auto"/>
        <w:right w:val="none" w:sz="0" w:space="0" w:color="auto"/>
      </w:divBdr>
    </w:div>
    <w:div w:id="1689793253">
      <w:bodyDiv w:val="1"/>
      <w:marLeft w:val="0"/>
      <w:marRight w:val="0"/>
      <w:marTop w:val="0"/>
      <w:marBottom w:val="0"/>
      <w:divBdr>
        <w:top w:val="none" w:sz="0" w:space="0" w:color="auto"/>
        <w:left w:val="none" w:sz="0" w:space="0" w:color="auto"/>
        <w:bottom w:val="none" w:sz="0" w:space="0" w:color="auto"/>
        <w:right w:val="none" w:sz="0" w:space="0" w:color="auto"/>
      </w:divBdr>
      <w:divsChild>
        <w:div w:id="967737109">
          <w:marLeft w:val="0"/>
          <w:marRight w:val="0"/>
          <w:marTop w:val="0"/>
          <w:marBottom w:val="0"/>
          <w:divBdr>
            <w:top w:val="none" w:sz="0" w:space="0" w:color="auto"/>
            <w:left w:val="none" w:sz="0" w:space="0" w:color="auto"/>
            <w:bottom w:val="none" w:sz="0" w:space="0" w:color="auto"/>
            <w:right w:val="none" w:sz="0" w:space="0" w:color="auto"/>
          </w:divBdr>
          <w:divsChild>
            <w:div w:id="1500579845">
              <w:marLeft w:val="0"/>
              <w:marRight w:val="0"/>
              <w:marTop w:val="0"/>
              <w:marBottom w:val="0"/>
              <w:divBdr>
                <w:top w:val="none" w:sz="0" w:space="0" w:color="auto"/>
                <w:left w:val="none" w:sz="0" w:space="0" w:color="auto"/>
                <w:bottom w:val="none" w:sz="0" w:space="0" w:color="auto"/>
                <w:right w:val="none" w:sz="0" w:space="0" w:color="auto"/>
              </w:divBdr>
              <w:divsChild>
                <w:div w:id="1518079213">
                  <w:marLeft w:val="0"/>
                  <w:marRight w:val="0"/>
                  <w:marTop w:val="0"/>
                  <w:marBottom w:val="0"/>
                  <w:divBdr>
                    <w:top w:val="none" w:sz="0" w:space="0" w:color="auto"/>
                    <w:left w:val="none" w:sz="0" w:space="0" w:color="auto"/>
                    <w:bottom w:val="none" w:sz="0" w:space="0" w:color="auto"/>
                    <w:right w:val="none" w:sz="0" w:space="0" w:color="auto"/>
                  </w:divBdr>
                  <w:divsChild>
                    <w:div w:id="598293944">
                      <w:marLeft w:val="0"/>
                      <w:marRight w:val="0"/>
                      <w:marTop w:val="0"/>
                      <w:marBottom w:val="0"/>
                      <w:divBdr>
                        <w:top w:val="none" w:sz="0" w:space="0" w:color="auto"/>
                        <w:left w:val="none" w:sz="0" w:space="0" w:color="auto"/>
                        <w:bottom w:val="none" w:sz="0" w:space="0" w:color="auto"/>
                        <w:right w:val="none" w:sz="0" w:space="0" w:color="auto"/>
                      </w:divBdr>
                      <w:divsChild>
                        <w:div w:id="1098215116">
                          <w:marLeft w:val="0"/>
                          <w:marRight w:val="0"/>
                          <w:marTop w:val="0"/>
                          <w:marBottom w:val="0"/>
                          <w:divBdr>
                            <w:top w:val="none" w:sz="0" w:space="0" w:color="auto"/>
                            <w:left w:val="none" w:sz="0" w:space="0" w:color="auto"/>
                            <w:bottom w:val="none" w:sz="0" w:space="0" w:color="auto"/>
                            <w:right w:val="none" w:sz="0" w:space="0" w:color="auto"/>
                          </w:divBdr>
                          <w:divsChild>
                            <w:div w:id="1372995857">
                              <w:marLeft w:val="0"/>
                              <w:marRight w:val="0"/>
                              <w:marTop w:val="0"/>
                              <w:marBottom w:val="0"/>
                              <w:divBdr>
                                <w:top w:val="none" w:sz="0" w:space="0" w:color="auto"/>
                                <w:left w:val="none" w:sz="0" w:space="0" w:color="auto"/>
                                <w:bottom w:val="none" w:sz="0" w:space="0" w:color="auto"/>
                                <w:right w:val="none" w:sz="0" w:space="0" w:color="auto"/>
                              </w:divBdr>
                              <w:divsChild>
                                <w:div w:id="1742291528">
                                  <w:marLeft w:val="0"/>
                                  <w:marRight w:val="0"/>
                                  <w:marTop w:val="0"/>
                                  <w:marBottom w:val="0"/>
                                  <w:divBdr>
                                    <w:top w:val="none" w:sz="0" w:space="0" w:color="auto"/>
                                    <w:left w:val="none" w:sz="0" w:space="0" w:color="auto"/>
                                    <w:bottom w:val="none" w:sz="0" w:space="0" w:color="auto"/>
                                    <w:right w:val="none" w:sz="0" w:space="0" w:color="auto"/>
                                  </w:divBdr>
                                  <w:divsChild>
                                    <w:div w:id="1054737317">
                                      <w:marLeft w:val="0"/>
                                      <w:marRight w:val="0"/>
                                      <w:marTop w:val="0"/>
                                      <w:marBottom w:val="0"/>
                                      <w:divBdr>
                                        <w:top w:val="none" w:sz="0" w:space="0" w:color="auto"/>
                                        <w:left w:val="none" w:sz="0" w:space="0" w:color="auto"/>
                                        <w:bottom w:val="none" w:sz="0" w:space="0" w:color="auto"/>
                                        <w:right w:val="none" w:sz="0" w:space="0" w:color="auto"/>
                                      </w:divBdr>
                                      <w:divsChild>
                                        <w:div w:id="215623327">
                                          <w:marLeft w:val="0"/>
                                          <w:marRight w:val="0"/>
                                          <w:marTop w:val="0"/>
                                          <w:marBottom w:val="0"/>
                                          <w:divBdr>
                                            <w:top w:val="none" w:sz="0" w:space="0" w:color="auto"/>
                                            <w:left w:val="none" w:sz="0" w:space="0" w:color="auto"/>
                                            <w:bottom w:val="none" w:sz="0" w:space="0" w:color="auto"/>
                                            <w:right w:val="none" w:sz="0" w:space="0" w:color="auto"/>
                                          </w:divBdr>
                                          <w:divsChild>
                                            <w:div w:id="762268220">
                                              <w:marLeft w:val="0"/>
                                              <w:marRight w:val="0"/>
                                              <w:marTop w:val="0"/>
                                              <w:marBottom w:val="0"/>
                                              <w:divBdr>
                                                <w:top w:val="none" w:sz="0" w:space="0" w:color="auto"/>
                                                <w:left w:val="none" w:sz="0" w:space="0" w:color="auto"/>
                                                <w:bottom w:val="none" w:sz="0" w:space="0" w:color="auto"/>
                                                <w:right w:val="none" w:sz="0" w:space="0" w:color="auto"/>
                                              </w:divBdr>
                                              <w:divsChild>
                                                <w:div w:id="1996108788">
                                                  <w:marLeft w:val="0"/>
                                                  <w:marRight w:val="0"/>
                                                  <w:marTop w:val="0"/>
                                                  <w:marBottom w:val="0"/>
                                                  <w:divBdr>
                                                    <w:top w:val="none" w:sz="0" w:space="0" w:color="auto"/>
                                                    <w:left w:val="none" w:sz="0" w:space="0" w:color="auto"/>
                                                    <w:bottom w:val="none" w:sz="0" w:space="0" w:color="auto"/>
                                                    <w:right w:val="none" w:sz="0" w:space="0" w:color="auto"/>
                                                  </w:divBdr>
                                                  <w:divsChild>
                                                    <w:div w:id="318267288">
                                                      <w:marLeft w:val="0"/>
                                                      <w:marRight w:val="0"/>
                                                      <w:marTop w:val="0"/>
                                                      <w:marBottom w:val="0"/>
                                                      <w:divBdr>
                                                        <w:top w:val="none" w:sz="0" w:space="0" w:color="auto"/>
                                                        <w:left w:val="none" w:sz="0" w:space="0" w:color="auto"/>
                                                        <w:bottom w:val="none" w:sz="0" w:space="0" w:color="auto"/>
                                                        <w:right w:val="none" w:sz="0" w:space="0" w:color="auto"/>
                                                      </w:divBdr>
                                                      <w:divsChild>
                                                        <w:div w:id="213740101">
                                                          <w:marLeft w:val="0"/>
                                                          <w:marRight w:val="0"/>
                                                          <w:marTop w:val="0"/>
                                                          <w:marBottom w:val="0"/>
                                                          <w:divBdr>
                                                            <w:top w:val="none" w:sz="0" w:space="0" w:color="auto"/>
                                                            <w:left w:val="none" w:sz="0" w:space="0" w:color="auto"/>
                                                            <w:bottom w:val="none" w:sz="0" w:space="0" w:color="auto"/>
                                                            <w:right w:val="none" w:sz="0" w:space="0" w:color="auto"/>
                                                          </w:divBdr>
                                                          <w:divsChild>
                                                            <w:div w:id="14452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中原大學教師短期出國研究進修辦法</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中原大學教師短期出國研究進修辦法</dc:title>
  <dc:creator>王嬈媚</dc:creator>
  <cp:lastModifiedBy>劉怡伶</cp:lastModifiedBy>
  <cp:revision>3</cp:revision>
  <dcterms:created xsi:type="dcterms:W3CDTF">2024-08-07T07:50:00Z</dcterms:created>
  <dcterms:modified xsi:type="dcterms:W3CDTF">2024-08-08T02:37:00Z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2016</vt:lpwstr>
  </property>
  <property fmtid="{D5CDD505-2E9C-101B-9397-08002B2CF9AE}" pid="4" name="LastSaved">
    <vt:filetime>2024-06-07T00:00:00Z</vt:filetime>
  </property>
</Properties>
</file>