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0C6" w:rsidRDefault="00502AEA" w:rsidP="00502AEA">
      <w:pPr>
        <w:jc w:val="center"/>
        <w:rPr>
          <w:rFonts w:ascii="Times New Roman" w:hAnsi="Times New Roman" w:cs="Times New Roman"/>
          <w:b/>
          <w:sz w:val="32"/>
          <w:szCs w:val="32"/>
        </w:rPr>
      </w:pPr>
      <w:r w:rsidRPr="00502AEA">
        <w:rPr>
          <w:rFonts w:ascii="Times New Roman" w:hAnsi="Times New Roman" w:cs="Times New Roman" w:hint="eastAsia"/>
          <w:b/>
          <w:sz w:val="32"/>
          <w:szCs w:val="32"/>
        </w:rPr>
        <w:t xml:space="preserve">CYCU </w:t>
      </w:r>
      <w:r w:rsidRPr="00502AEA">
        <w:rPr>
          <w:rFonts w:ascii="Times New Roman" w:hAnsi="Times New Roman" w:cs="Times New Roman"/>
          <w:b/>
          <w:sz w:val="32"/>
          <w:szCs w:val="32"/>
        </w:rPr>
        <w:t>Measures for subsidizing academic seminars organized</w:t>
      </w:r>
      <w:bookmarkStart w:id="0" w:name="_GoBack"/>
      <w:bookmarkEnd w:id="0"/>
    </w:p>
    <w:p w:rsidR="00502AEA" w:rsidRPr="00502AEA" w:rsidRDefault="00502AEA" w:rsidP="00502AEA">
      <w:pPr>
        <w:jc w:val="right"/>
        <w:rPr>
          <w:rFonts w:ascii="Times New Roman" w:hAnsi="Times New Roman" w:cs="Times New Roman"/>
          <w:b/>
          <w:sz w:val="18"/>
          <w:szCs w:val="18"/>
        </w:rPr>
      </w:pPr>
    </w:p>
    <w:p w:rsidR="00502AEA" w:rsidRPr="00502AEA" w:rsidRDefault="00502AEA" w:rsidP="00502AEA">
      <w:pPr>
        <w:jc w:val="right"/>
        <w:rPr>
          <w:rFonts w:ascii="Times New Roman" w:hAnsi="Times New Roman" w:cs="Times New Roman"/>
          <w:sz w:val="18"/>
          <w:szCs w:val="18"/>
        </w:rPr>
      </w:pPr>
      <w:r w:rsidRPr="00502AEA">
        <w:rPr>
          <w:rFonts w:ascii="Times New Roman" w:hAnsi="Times New Roman" w:cs="Times New Roman"/>
          <w:sz w:val="18"/>
          <w:szCs w:val="18"/>
        </w:rPr>
        <w:t>Passed by the 871st Executive Meeting on February 8, 2010</w:t>
      </w:r>
    </w:p>
    <w:p w:rsidR="00502AEA" w:rsidRPr="00502AEA" w:rsidRDefault="00502AEA" w:rsidP="00502AEA">
      <w:pPr>
        <w:jc w:val="right"/>
        <w:rPr>
          <w:rFonts w:ascii="Times New Roman" w:hAnsi="Times New Roman" w:cs="Times New Roman"/>
          <w:sz w:val="18"/>
          <w:szCs w:val="18"/>
        </w:rPr>
      </w:pPr>
      <w:r w:rsidRPr="00502AEA">
        <w:rPr>
          <w:rFonts w:ascii="Times New Roman" w:hAnsi="Times New Roman" w:cs="Times New Roman"/>
          <w:sz w:val="18"/>
          <w:szCs w:val="18"/>
        </w:rPr>
        <w:t>Amended by the 897th Executive Meeting on May 3, 2012</w:t>
      </w:r>
    </w:p>
    <w:p w:rsidR="00502AEA" w:rsidRPr="00502AEA" w:rsidRDefault="00502AEA" w:rsidP="00502AEA">
      <w:pPr>
        <w:jc w:val="right"/>
        <w:rPr>
          <w:rFonts w:ascii="Times New Roman" w:hAnsi="Times New Roman" w:cs="Times New Roman"/>
          <w:sz w:val="18"/>
          <w:szCs w:val="18"/>
        </w:rPr>
      </w:pPr>
      <w:r w:rsidRPr="00502AEA">
        <w:rPr>
          <w:rFonts w:ascii="Times New Roman" w:hAnsi="Times New Roman" w:cs="Times New Roman"/>
          <w:sz w:val="18"/>
          <w:szCs w:val="18"/>
        </w:rPr>
        <w:t>Amended by the 906th Executive Meeting on March 7, 2013</w:t>
      </w:r>
    </w:p>
    <w:p w:rsidR="00502AEA" w:rsidRPr="00502AEA" w:rsidRDefault="00502AEA" w:rsidP="00502AEA">
      <w:pPr>
        <w:jc w:val="right"/>
        <w:rPr>
          <w:rFonts w:ascii="Times New Roman" w:hAnsi="Times New Roman" w:cs="Times New Roman"/>
          <w:sz w:val="18"/>
          <w:szCs w:val="18"/>
        </w:rPr>
      </w:pPr>
      <w:r w:rsidRPr="00502AEA">
        <w:rPr>
          <w:rFonts w:ascii="Times New Roman" w:hAnsi="Times New Roman" w:cs="Times New Roman"/>
          <w:sz w:val="18"/>
          <w:szCs w:val="18"/>
        </w:rPr>
        <w:t>Amended by the 907th Executive Meeting on April 11, 2013</w:t>
      </w:r>
    </w:p>
    <w:p w:rsidR="00502AEA" w:rsidRPr="00502AEA" w:rsidRDefault="00502AEA" w:rsidP="00502AEA">
      <w:pPr>
        <w:jc w:val="right"/>
        <w:rPr>
          <w:rFonts w:ascii="Times New Roman" w:hAnsi="Times New Roman" w:cs="Times New Roman"/>
          <w:sz w:val="18"/>
          <w:szCs w:val="18"/>
        </w:rPr>
      </w:pPr>
      <w:r w:rsidRPr="00502AEA">
        <w:rPr>
          <w:rFonts w:ascii="Times New Roman" w:hAnsi="Times New Roman" w:cs="Times New Roman"/>
          <w:sz w:val="18"/>
          <w:szCs w:val="18"/>
        </w:rPr>
        <w:t>Amended based on the original secret letter No. 1030000643 on March 5, 2014</w:t>
      </w:r>
    </w:p>
    <w:p w:rsidR="00502AEA" w:rsidRPr="00502AEA" w:rsidRDefault="00502AEA" w:rsidP="00502AEA">
      <w:pPr>
        <w:jc w:val="right"/>
        <w:rPr>
          <w:rFonts w:ascii="Times New Roman" w:hAnsi="Times New Roman" w:cs="Times New Roman"/>
          <w:sz w:val="18"/>
          <w:szCs w:val="18"/>
        </w:rPr>
      </w:pPr>
      <w:r w:rsidRPr="00502AEA">
        <w:rPr>
          <w:rFonts w:ascii="Times New Roman" w:hAnsi="Times New Roman" w:cs="Times New Roman"/>
          <w:sz w:val="18"/>
          <w:szCs w:val="18"/>
        </w:rPr>
        <w:t>Amended based on the original secret letter No. 1050002657 on August 25, 2016</w:t>
      </w:r>
    </w:p>
    <w:p w:rsidR="00502AEA" w:rsidRPr="00502AEA" w:rsidRDefault="00502AEA" w:rsidP="00502AEA">
      <w:pPr>
        <w:jc w:val="right"/>
        <w:rPr>
          <w:rFonts w:ascii="Times New Roman" w:hAnsi="Times New Roman" w:cs="Times New Roman"/>
          <w:sz w:val="18"/>
          <w:szCs w:val="18"/>
        </w:rPr>
      </w:pPr>
      <w:r w:rsidRPr="00502AEA">
        <w:rPr>
          <w:rFonts w:ascii="Times New Roman" w:hAnsi="Times New Roman" w:cs="Times New Roman"/>
          <w:sz w:val="18"/>
          <w:szCs w:val="18"/>
        </w:rPr>
        <w:t>Amended based on the original secret letter No. 1110002691 on August 3, 2022</w:t>
      </w:r>
    </w:p>
    <w:p w:rsidR="00502AEA" w:rsidRPr="00BB0FAB" w:rsidRDefault="00502AEA" w:rsidP="00502AEA">
      <w:pPr>
        <w:jc w:val="right"/>
        <w:rPr>
          <w:rFonts w:ascii="Times New Roman" w:hAnsi="Times New Roman" w:cs="Times New Roman"/>
          <w:sz w:val="18"/>
          <w:szCs w:val="18"/>
        </w:rPr>
      </w:pPr>
    </w:p>
    <w:p w:rsidR="00BB0FAB" w:rsidRPr="00BB0FAB" w:rsidRDefault="00BB0FAB" w:rsidP="00BB0FAB">
      <w:pPr>
        <w:rPr>
          <w:rFonts w:ascii="Times New Roman" w:hAnsi="Times New Roman" w:cs="Times New Roman"/>
          <w:szCs w:val="24"/>
        </w:rPr>
      </w:pPr>
      <w:r>
        <w:rPr>
          <w:rFonts w:ascii="Times New Roman" w:hAnsi="Times New Roman" w:cs="Times New Roman"/>
          <w:szCs w:val="24"/>
        </w:rPr>
        <w:t>Article 1.</w:t>
      </w:r>
      <w:r>
        <w:rPr>
          <w:rFonts w:ascii="Times New Roman" w:hAnsi="Times New Roman" w:cs="Times New Roman" w:hint="eastAsia"/>
          <w:szCs w:val="24"/>
        </w:rPr>
        <w:t xml:space="preserve">　</w:t>
      </w:r>
      <w:r w:rsidRPr="00BB0FAB">
        <w:rPr>
          <w:rFonts w:ascii="Times New Roman" w:hAnsi="Times New Roman" w:cs="Times New Roman"/>
          <w:szCs w:val="24"/>
        </w:rPr>
        <w:t>Purpose</w:t>
      </w: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In order to enhance exchanges with the international academic community, improve scientific and technological standards, and elevate the international academic status and reputation of Chung Yuan Christian University (hereinafter referred to as the "University"), and to encourage the organization of forward-looking and constructive academic conferences, these regulations are established.</w:t>
      </w:r>
    </w:p>
    <w:p w:rsidR="00BB0FAB" w:rsidRPr="00BB0FAB" w:rsidRDefault="00BB0FAB" w:rsidP="00BB0FAB">
      <w:pPr>
        <w:rPr>
          <w:rFonts w:ascii="Times New Roman" w:hAnsi="Times New Roman" w:cs="Times New Roman"/>
          <w:szCs w:val="24"/>
        </w:rPr>
      </w:pPr>
    </w:p>
    <w:p w:rsidR="00BB0FAB" w:rsidRPr="00BB0FAB" w:rsidRDefault="00BB0FAB" w:rsidP="00BB0FAB">
      <w:pPr>
        <w:rPr>
          <w:rFonts w:ascii="Times New Roman" w:hAnsi="Times New Roman" w:cs="Times New Roman"/>
          <w:szCs w:val="24"/>
        </w:rPr>
      </w:pPr>
      <w:r>
        <w:rPr>
          <w:rFonts w:ascii="Times New Roman" w:hAnsi="Times New Roman" w:cs="Times New Roman"/>
          <w:szCs w:val="24"/>
        </w:rPr>
        <w:t>Article 2.</w:t>
      </w:r>
      <w:r>
        <w:rPr>
          <w:rFonts w:ascii="Times New Roman" w:hAnsi="Times New Roman" w:cs="Times New Roman" w:hint="eastAsia"/>
          <w:szCs w:val="24"/>
        </w:rPr>
        <w:t xml:space="preserve">　</w:t>
      </w:r>
      <w:r w:rsidRPr="00BB0FAB">
        <w:rPr>
          <w:rFonts w:ascii="Times New Roman" w:hAnsi="Times New Roman" w:cs="Times New Roman"/>
          <w:szCs w:val="24"/>
        </w:rPr>
        <w:t>Eligible Applicants</w:t>
      </w: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 xml:space="preserve">Any academic unit or research center of </w:t>
      </w:r>
      <w:proofErr w:type="spellStart"/>
      <w:r>
        <w:rPr>
          <w:rFonts w:ascii="Times New Roman" w:hAnsi="Times New Roman" w:cs="Times New Roman"/>
          <w:szCs w:val="24"/>
        </w:rPr>
        <w:t>CYCU</w:t>
      </w:r>
      <w:r w:rsidRPr="00BB0FAB">
        <w:rPr>
          <w:rFonts w:ascii="Times New Roman" w:hAnsi="Times New Roman" w:cs="Times New Roman"/>
          <w:szCs w:val="24"/>
        </w:rPr>
        <w:t>sity</w:t>
      </w:r>
      <w:proofErr w:type="spellEnd"/>
      <w:r w:rsidRPr="00BB0FAB">
        <w:rPr>
          <w:rFonts w:ascii="Times New Roman" w:hAnsi="Times New Roman" w:cs="Times New Roman"/>
          <w:szCs w:val="24"/>
        </w:rPr>
        <w:t xml:space="preserve"> organizing an academic conference under </w:t>
      </w:r>
      <w:r>
        <w:rPr>
          <w:rFonts w:ascii="Times New Roman" w:hAnsi="Times New Roman" w:cs="Times New Roman"/>
          <w:szCs w:val="24"/>
        </w:rPr>
        <w:t>CYCU</w:t>
      </w:r>
      <w:r w:rsidRPr="00BB0FAB">
        <w:rPr>
          <w:rFonts w:ascii="Times New Roman" w:hAnsi="Times New Roman" w:cs="Times New Roman"/>
          <w:szCs w:val="24"/>
        </w:rPr>
        <w:t xml:space="preserve"> name may apply for financial assistance in accordance with these regulations.</w:t>
      </w:r>
    </w:p>
    <w:p w:rsidR="00BB0FAB" w:rsidRPr="00BB0FAB" w:rsidRDefault="00BB0FAB" w:rsidP="00BB0FAB">
      <w:pPr>
        <w:rPr>
          <w:rFonts w:ascii="Times New Roman" w:hAnsi="Times New Roman" w:cs="Times New Roman"/>
          <w:szCs w:val="24"/>
        </w:rPr>
      </w:pPr>
    </w:p>
    <w:p w:rsidR="00BB0FAB" w:rsidRPr="00BB0FAB" w:rsidRDefault="00BB0FAB" w:rsidP="00BB0FAB">
      <w:pPr>
        <w:rPr>
          <w:rFonts w:ascii="Times New Roman" w:hAnsi="Times New Roman" w:cs="Times New Roman"/>
          <w:szCs w:val="24"/>
        </w:rPr>
      </w:pPr>
      <w:r>
        <w:rPr>
          <w:rFonts w:ascii="Times New Roman" w:hAnsi="Times New Roman" w:cs="Times New Roman"/>
          <w:szCs w:val="24"/>
        </w:rPr>
        <w:t>Article 3.</w:t>
      </w:r>
      <w:r>
        <w:rPr>
          <w:rFonts w:ascii="Times New Roman" w:hAnsi="Times New Roman" w:cs="Times New Roman" w:hint="eastAsia"/>
          <w:szCs w:val="24"/>
        </w:rPr>
        <w:t xml:space="preserve">　</w:t>
      </w:r>
      <w:r w:rsidRPr="00BB0FAB">
        <w:rPr>
          <w:rFonts w:ascii="Times New Roman" w:hAnsi="Times New Roman" w:cs="Times New Roman"/>
          <w:szCs w:val="24"/>
        </w:rPr>
        <w:t>Application Process</w:t>
      </w: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 xml:space="preserve">Units applying for subsidies must first apply for funding from the National Science and Technology Council or other relevant institutions before the event, in accordance with applicable regulations. If the application is submitted after the deadline and the external institution does not provide funding, </w:t>
      </w:r>
      <w:proofErr w:type="spellStart"/>
      <w:r>
        <w:rPr>
          <w:rFonts w:ascii="Times New Roman" w:hAnsi="Times New Roman" w:cs="Times New Roman"/>
          <w:szCs w:val="24"/>
        </w:rPr>
        <w:t>CYCU</w:t>
      </w:r>
      <w:r w:rsidRPr="00BB0FAB">
        <w:rPr>
          <w:rFonts w:ascii="Times New Roman" w:hAnsi="Times New Roman" w:cs="Times New Roman"/>
          <w:szCs w:val="24"/>
        </w:rPr>
        <w:t>sity</w:t>
      </w:r>
      <w:proofErr w:type="spellEnd"/>
      <w:r w:rsidRPr="00BB0FAB">
        <w:rPr>
          <w:rFonts w:ascii="Times New Roman" w:hAnsi="Times New Roman" w:cs="Times New Roman"/>
          <w:szCs w:val="24"/>
        </w:rPr>
        <w:t xml:space="preserve"> will not accept the application.</w:t>
      </w:r>
    </w:p>
    <w:p w:rsidR="00BB0FAB" w:rsidRPr="00BB0FAB" w:rsidRDefault="00BB0FAB" w:rsidP="00BB0FAB">
      <w:pPr>
        <w:rPr>
          <w:rFonts w:ascii="Times New Roman" w:hAnsi="Times New Roman" w:cs="Times New Roman"/>
          <w:szCs w:val="24"/>
        </w:rPr>
      </w:pPr>
    </w:p>
    <w:p w:rsidR="00BB0FAB" w:rsidRPr="00BB0FAB" w:rsidRDefault="00BB0FAB" w:rsidP="00BB0FAB">
      <w:pPr>
        <w:rPr>
          <w:rFonts w:ascii="Times New Roman" w:hAnsi="Times New Roman" w:cs="Times New Roman"/>
          <w:szCs w:val="24"/>
        </w:rPr>
      </w:pPr>
      <w:r w:rsidRPr="00BB0FAB">
        <w:rPr>
          <w:rFonts w:ascii="Times New Roman" w:hAnsi="Times New Roman" w:cs="Times New Roman"/>
          <w:szCs w:val="24"/>
        </w:rPr>
        <w:t>Article 4.</w:t>
      </w:r>
      <w:r>
        <w:rPr>
          <w:rFonts w:ascii="Times New Roman" w:hAnsi="Times New Roman" w:cs="Times New Roman" w:hint="eastAsia"/>
          <w:szCs w:val="24"/>
        </w:rPr>
        <w:t xml:space="preserve">　</w:t>
      </w:r>
      <w:r w:rsidRPr="00BB0FAB">
        <w:rPr>
          <w:rFonts w:ascii="Times New Roman" w:hAnsi="Times New Roman" w:cs="Times New Roman"/>
          <w:szCs w:val="24"/>
        </w:rPr>
        <w:t>Types of Conferences Eligible for Subsidy</w:t>
      </w: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Academic conferences eligible for subsidies under these regulations are divided into the following five categories:</w:t>
      </w:r>
    </w:p>
    <w:p w:rsidR="00BB0FAB" w:rsidRPr="00BB0FAB" w:rsidRDefault="00BB0FAB" w:rsidP="00BB0FAB">
      <w:pPr>
        <w:ind w:left="1202"/>
        <w:outlineLvl w:val="0"/>
        <w:rPr>
          <w:rFonts w:ascii="Times New Roman" w:hAnsi="Times New Roman" w:cs="Times New Roman"/>
          <w:szCs w:val="24"/>
        </w:rPr>
      </w:pP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Category 1: International large-scale academic conferences authorized by or co-organized with an international academic organization (intercontinental).</w:t>
      </w: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Category 2: International academic conferences formally recognized by international academic organizations (intercontinental or regional) and held in Taiwan.</w:t>
      </w: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lastRenderedPageBreak/>
        <w:t>Category 3: International academic conferences authorized by domestic academic organizations.</w:t>
      </w: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Category 4: Domestic academic conferences organized annually.</w:t>
      </w: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Category 5: Other types of academic conferences.</w:t>
      </w: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For the purposes of these regulations, an international academic conference is defined as one that:</w:t>
      </w:r>
    </w:p>
    <w:p w:rsidR="00BB0FAB" w:rsidRPr="00BB0FAB" w:rsidRDefault="00BB0FAB" w:rsidP="00BB0FAB">
      <w:pPr>
        <w:ind w:left="1202"/>
        <w:outlineLvl w:val="0"/>
        <w:rPr>
          <w:rFonts w:ascii="Times New Roman" w:hAnsi="Times New Roman" w:cs="Times New Roman"/>
          <w:szCs w:val="24"/>
        </w:rPr>
      </w:pP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Publishes a public call for papers and operates under a peer-review system;</w:t>
      </w: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Has at least three countries or regions (including Taiwan) represented by conference participants.</w:t>
      </w:r>
    </w:p>
    <w:p w:rsid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If participants are from Mainland China, Hong Kong, or Macau, they are counted as one country (region). If foreign participants are from the hosting university's own foreign faculty or students, they are not counted toward the national/regional representation count.</w:t>
      </w:r>
    </w:p>
    <w:p w:rsidR="00BB0FAB" w:rsidRPr="00BB0FAB" w:rsidRDefault="00BB0FAB" w:rsidP="00BB0FAB">
      <w:pPr>
        <w:ind w:left="1202"/>
        <w:outlineLvl w:val="0"/>
        <w:rPr>
          <w:rFonts w:ascii="Times New Roman" w:hAnsi="Times New Roman" w:cs="Times New Roman"/>
          <w:szCs w:val="24"/>
        </w:rPr>
      </w:pPr>
    </w:p>
    <w:p w:rsidR="00BB0FAB" w:rsidRPr="00BB0FAB" w:rsidRDefault="00BB0FAB" w:rsidP="00BB0FAB">
      <w:pPr>
        <w:rPr>
          <w:rFonts w:ascii="Times New Roman" w:hAnsi="Times New Roman" w:cs="Times New Roman"/>
          <w:szCs w:val="24"/>
        </w:rPr>
      </w:pPr>
      <w:r>
        <w:rPr>
          <w:rFonts w:ascii="Times New Roman" w:hAnsi="Times New Roman" w:cs="Times New Roman"/>
          <w:szCs w:val="24"/>
        </w:rPr>
        <w:t>Article 5.</w:t>
      </w:r>
      <w:r>
        <w:rPr>
          <w:rFonts w:ascii="Times New Roman" w:hAnsi="Times New Roman" w:cs="Times New Roman" w:hint="eastAsia"/>
          <w:szCs w:val="24"/>
        </w:rPr>
        <w:t xml:space="preserve">　</w:t>
      </w:r>
      <w:r w:rsidRPr="00BB0FAB">
        <w:rPr>
          <w:rFonts w:ascii="Times New Roman" w:hAnsi="Times New Roman" w:cs="Times New Roman"/>
          <w:szCs w:val="24"/>
        </w:rPr>
        <w:t>Allocation of Subsidy Funds</w:t>
      </w: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 xml:space="preserve">The total subsidy amount for </w:t>
      </w:r>
      <w:proofErr w:type="spellStart"/>
      <w:r>
        <w:rPr>
          <w:rFonts w:ascii="Times New Roman" w:hAnsi="Times New Roman" w:cs="Times New Roman"/>
          <w:szCs w:val="24"/>
        </w:rPr>
        <w:t>CYCU</w:t>
      </w:r>
      <w:r w:rsidRPr="00BB0FAB">
        <w:rPr>
          <w:rFonts w:ascii="Times New Roman" w:hAnsi="Times New Roman" w:cs="Times New Roman"/>
          <w:szCs w:val="24"/>
        </w:rPr>
        <w:t>sity</w:t>
      </w:r>
      <w:proofErr w:type="spellEnd"/>
      <w:r w:rsidRPr="00BB0FAB">
        <w:rPr>
          <w:rFonts w:ascii="Times New Roman" w:hAnsi="Times New Roman" w:cs="Times New Roman"/>
          <w:szCs w:val="24"/>
        </w:rPr>
        <w:t xml:space="preserve"> is limited to the budget approved for the current academic year. The allocation is based on the following principles:</w:t>
      </w:r>
    </w:p>
    <w:p w:rsidR="00BB0FAB" w:rsidRPr="00BB0FAB" w:rsidRDefault="00BB0FAB" w:rsidP="00BB0FAB">
      <w:pPr>
        <w:ind w:left="1202"/>
        <w:outlineLvl w:val="0"/>
        <w:rPr>
          <w:rFonts w:ascii="Times New Roman" w:hAnsi="Times New Roman" w:cs="Times New Roman"/>
          <w:szCs w:val="24"/>
        </w:rPr>
      </w:pP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60% of the subsidy will be allocated based on the proportion of external conference subsidies received by each college in the previous three academic years.</w:t>
      </w:r>
    </w:p>
    <w:p w:rsid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 xml:space="preserve">40% of the subsidy will be allocated based on the proportion of full-time assistant professors and higher in each college relative to the total number of full-time assistant professors and higher at </w:t>
      </w:r>
      <w:proofErr w:type="spellStart"/>
      <w:r>
        <w:rPr>
          <w:rFonts w:ascii="Times New Roman" w:hAnsi="Times New Roman" w:cs="Times New Roman"/>
          <w:szCs w:val="24"/>
        </w:rPr>
        <w:t>CYCU</w:t>
      </w:r>
      <w:r w:rsidRPr="00BB0FAB">
        <w:rPr>
          <w:rFonts w:ascii="Times New Roman" w:hAnsi="Times New Roman" w:cs="Times New Roman"/>
          <w:szCs w:val="24"/>
        </w:rPr>
        <w:t>sity</w:t>
      </w:r>
      <w:proofErr w:type="spellEnd"/>
      <w:r w:rsidRPr="00BB0FAB">
        <w:rPr>
          <w:rFonts w:ascii="Times New Roman" w:hAnsi="Times New Roman" w:cs="Times New Roman"/>
          <w:szCs w:val="24"/>
        </w:rPr>
        <w:t>.</w:t>
      </w:r>
    </w:p>
    <w:p w:rsidR="00BB0FAB" w:rsidRPr="00BB0FAB" w:rsidRDefault="00BB0FAB" w:rsidP="00BB0FAB">
      <w:pPr>
        <w:ind w:left="1202"/>
        <w:outlineLvl w:val="0"/>
        <w:rPr>
          <w:rFonts w:ascii="Times New Roman" w:hAnsi="Times New Roman" w:cs="Times New Roman"/>
          <w:szCs w:val="24"/>
        </w:rPr>
      </w:pPr>
    </w:p>
    <w:p w:rsidR="00BB0FAB" w:rsidRPr="00BB0FAB" w:rsidRDefault="00BB0FAB" w:rsidP="00BB0FAB">
      <w:pPr>
        <w:rPr>
          <w:rFonts w:ascii="Times New Roman" w:hAnsi="Times New Roman" w:cs="Times New Roman"/>
          <w:szCs w:val="24"/>
        </w:rPr>
      </w:pPr>
      <w:r>
        <w:rPr>
          <w:rFonts w:ascii="Times New Roman" w:hAnsi="Times New Roman" w:cs="Times New Roman"/>
          <w:szCs w:val="24"/>
        </w:rPr>
        <w:t>Article 6.</w:t>
      </w:r>
      <w:r>
        <w:rPr>
          <w:rFonts w:ascii="Times New Roman" w:hAnsi="Times New Roman" w:cs="Times New Roman" w:hint="eastAsia"/>
          <w:szCs w:val="24"/>
        </w:rPr>
        <w:t xml:space="preserve">　</w:t>
      </w:r>
      <w:r w:rsidRPr="00BB0FAB">
        <w:rPr>
          <w:rFonts w:ascii="Times New Roman" w:hAnsi="Times New Roman" w:cs="Times New Roman"/>
          <w:szCs w:val="24"/>
        </w:rPr>
        <w:t>Application Review and Subsidy Amount</w:t>
      </w:r>
    </w:p>
    <w:p w:rsidR="00BB0FAB" w:rsidRPr="00BB0FAB" w:rsidRDefault="00BB0FAB" w:rsidP="00BB0FAB">
      <w:pPr>
        <w:rPr>
          <w:rFonts w:ascii="Times New Roman" w:hAnsi="Times New Roman" w:cs="Times New Roman"/>
          <w:szCs w:val="24"/>
        </w:rPr>
      </w:pP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Application Review Process: Each college shall determine its own review process for applications. Colleges may use the submitted application and project proposals as the basis for review.</w:t>
      </w: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The project proposal should include the following details: purpose of the conference, dates, target participants and expected attendance, conference content and agenda, anticipated outcomes, budget (with detailed itemization and information on other funding sources), and any other relevant materials that support the review.</w:t>
      </w:r>
    </w:p>
    <w:p w:rsidR="00BB0FAB" w:rsidRPr="00BB0FAB" w:rsidRDefault="00BB0FAB" w:rsidP="00BB0FAB">
      <w:pPr>
        <w:ind w:left="1202"/>
        <w:outlineLvl w:val="0"/>
        <w:rPr>
          <w:rFonts w:ascii="Times New Roman" w:hAnsi="Times New Roman" w:cs="Times New Roman"/>
          <w:szCs w:val="24"/>
        </w:rPr>
      </w:pP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Category 1 requires an official letter of authorization or invitation from the international academic organization.</w:t>
      </w: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lastRenderedPageBreak/>
        <w:t>Category 2 requires a letter or document from the international academic organization confirming recognition.</w:t>
      </w: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Category 3 requires an authorization letter from the domestic academic organization.</w:t>
      </w: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Category 4 requires details of the conference name, host organization, location, and other relevant information for conferences held in the past three years.</w:t>
      </w: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Once a proposal is approved by the respective college, it will be forwarded to the Research and Development Office for record-keeping.</w:t>
      </w: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Subsidy Amount:</w:t>
      </w:r>
    </w:p>
    <w:p w:rsidR="00BB0FAB" w:rsidRPr="00BB0FAB" w:rsidRDefault="00BB0FAB" w:rsidP="00BB0FAB">
      <w:pPr>
        <w:ind w:left="1202"/>
        <w:outlineLvl w:val="0"/>
        <w:rPr>
          <w:rFonts w:ascii="Times New Roman" w:hAnsi="Times New Roman" w:cs="Times New Roman"/>
          <w:szCs w:val="24"/>
        </w:rPr>
      </w:pP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Category 1 to Category 3: Each conference will receive a maximum subsidy of NT$100,000.</w:t>
      </w: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Category 4: Each conference will receive a maximum subsidy of NT$50,000.</w:t>
      </w: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Category 5: If the conference receives external funding, a subsidy of NT$30,000 will be granted; if no external funding is received, a subsidy of NT$20,000 will be provided.</w:t>
      </w:r>
    </w:p>
    <w:p w:rsid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If the actual subsidy amount is less than the requested amount, the subsidy will be based on actual expenses.</w:t>
      </w:r>
    </w:p>
    <w:p w:rsidR="00BB0FAB" w:rsidRPr="00BB0FAB" w:rsidRDefault="00BB0FAB" w:rsidP="00BB0FAB">
      <w:pPr>
        <w:ind w:left="1202"/>
        <w:outlineLvl w:val="0"/>
        <w:rPr>
          <w:rFonts w:ascii="Times New Roman" w:hAnsi="Times New Roman" w:cs="Times New Roman"/>
          <w:szCs w:val="24"/>
        </w:rPr>
      </w:pPr>
    </w:p>
    <w:p w:rsidR="00BB0FAB" w:rsidRPr="00BB0FAB" w:rsidRDefault="00BB0FAB" w:rsidP="00BB0FAB">
      <w:pPr>
        <w:rPr>
          <w:rFonts w:ascii="Times New Roman" w:hAnsi="Times New Roman" w:cs="Times New Roman"/>
          <w:szCs w:val="24"/>
        </w:rPr>
      </w:pPr>
      <w:r w:rsidRPr="00BB0FAB">
        <w:rPr>
          <w:rFonts w:ascii="Times New Roman" w:hAnsi="Times New Roman" w:cs="Times New Roman"/>
          <w:szCs w:val="24"/>
        </w:rPr>
        <w:t>Article 7.</w:t>
      </w:r>
      <w:r>
        <w:rPr>
          <w:rFonts w:ascii="Times New Roman" w:hAnsi="Times New Roman" w:cs="Times New Roman" w:hint="eastAsia"/>
          <w:szCs w:val="24"/>
        </w:rPr>
        <w:t xml:space="preserve">　</w:t>
      </w:r>
      <w:r w:rsidRPr="00BB0FAB">
        <w:rPr>
          <w:rFonts w:ascii="Times New Roman" w:hAnsi="Times New Roman" w:cs="Times New Roman"/>
          <w:szCs w:val="24"/>
        </w:rPr>
        <w:t>Reimbursement and Settlement</w:t>
      </w: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 xml:space="preserve">A written report must be submitted within one month after the conference concludes, along with supporting documentation (including a copy of the application, income and expenditure breakdown, payment vouchers, etc.) for reimbursement processing. Reimbursement must be completed within the same academic year in accordance with </w:t>
      </w:r>
      <w:r>
        <w:rPr>
          <w:rFonts w:ascii="Times New Roman" w:hAnsi="Times New Roman" w:cs="Times New Roman"/>
          <w:szCs w:val="24"/>
        </w:rPr>
        <w:t>CYCU</w:t>
      </w:r>
      <w:r w:rsidRPr="00BB0FAB">
        <w:rPr>
          <w:rFonts w:ascii="Times New Roman" w:hAnsi="Times New Roman" w:cs="Times New Roman"/>
          <w:szCs w:val="24"/>
        </w:rPr>
        <w:t xml:space="preserve"> accounting regulations. Failure to submit the written report and complete the settlement will result in the inability to claim the subsidy.</w:t>
      </w:r>
    </w:p>
    <w:p w:rsidR="00BB0FAB" w:rsidRPr="00BB0FAB" w:rsidRDefault="00BB0FAB" w:rsidP="00BB0FAB">
      <w:pPr>
        <w:rPr>
          <w:rFonts w:ascii="Times New Roman" w:hAnsi="Times New Roman" w:cs="Times New Roman"/>
          <w:szCs w:val="24"/>
        </w:rPr>
      </w:pPr>
    </w:p>
    <w:p w:rsidR="00BB0FAB" w:rsidRPr="00BB0FAB" w:rsidRDefault="00BB0FAB" w:rsidP="00BB0FAB">
      <w:pPr>
        <w:rPr>
          <w:rFonts w:ascii="Times New Roman" w:hAnsi="Times New Roman" w:cs="Times New Roman" w:hint="eastAsia"/>
          <w:szCs w:val="24"/>
        </w:rPr>
      </w:pPr>
      <w:r>
        <w:rPr>
          <w:rFonts w:ascii="Times New Roman" w:hAnsi="Times New Roman" w:cs="Times New Roman"/>
          <w:szCs w:val="24"/>
        </w:rPr>
        <w:t>Article 8.</w:t>
      </w:r>
      <w:r>
        <w:rPr>
          <w:rFonts w:ascii="Times New Roman" w:hAnsi="Times New Roman" w:cs="Times New Roman" w:hint="eastAsia"/>
          <w:szCs w:val="24"/>
        </w:rPr>
        <w:t xml:space="preserve">　</w:t>
      </w:r>
      <w:r>
        <w:rPr>
          <w:rFonts w:ascii="Times New Roman" w:hAnsi="Times New Roman" w:cs="Times New Roman"/>
          <w:szCs w:val="24"/>
        </w:rPr>
        <w:t>Important Considerations</w:t>
      </w: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Conferences recognized by international academic organizations approved by the National Science and Technology Council shall be given priority.</w:t>
      </w: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International academic conferences must include a public call for papers or invitation for presentations.</w:t>
      </w:r>
    </w:p>
    <w:p w:rsidR="00BB0FAB" w:rsidRP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When referencing Taiwan in international conferences, the official name of the Republic of China should be used, and necessary actions should be taken according to Ministry of Foreign Affairs regulations if required.</w:t>
      </w:r>
    </w:p>
    <w:p w:rsidR="00BB0FAB" w:rsidRDefault="00BB0FAB" w:rsidP="00BB0FAB">
      <w:pPr>
        <w:ind w:left="1202"/>
        <w:outlineLvl w:val="0"/>
        <w:rPr>
          <w:rFonts w:ascii="Times New Roman" w:hAnsi="Times New Roman" w:cs="Times New Roman"/>
          <w:szCs w:val="24"/>
        </w:rPr>
      </w:pPr>
      <w:r w:rsidRPr="00BB0FAB">
        <w:rPr>
          <w:rFonts w:ascii="Times New Roman" w:hAnsi="Times New Roman" w:cs="Times New Roman"/>
          <w:szCs w:val="24"/>
        </w:rPr>
        <w:t xml:space="preserve">Experts or scholars invited to the conference may not apply for additional subsidies through </w:t>
      </w:r>
      <w:r>
        <w:rPr>
          <w:rFonts w:ascii="Times New Roman" w:hAnsi="Times New Roman" w:cs="Times New Roman"/>
          <w:szCs w:val="24"/>
        </w:rPr>
        <w:t>CYCU</w:t>
      </w:r>
      <w:r w:rsidRPr="00BB0FAB">
        <w:rPr>
          <w:rFonts w:ascii="Times New Roman" w:hAnsi="Times New Roman" w:cs="Times New Roman"/>
          <w:szCs w:val="24"/>
        </w:rPr>
        <w:t xml:space="preserve"> Foreign Scholar Lecture and Collaborative Research Subsidy Program.</w:t>
      </w:r>
    </w:p>
    <w:p w:rsidR="00BB0FAB" w:rsidRPr="00BB0FAB" w:rsidRDefault="00BB0FAB" w:rsidP="00BB0FAB">
      <w:pPr>
        <w:rPr>
          <w:rFonts w:ascii="Times New Roman" w:hAnsi="Times New Roman" w:cs="Times New Roman"/>
          <w:szCs w:val="24"/>
        </w:rPr>
      </w:pPr>
    </w:p>
    <w:p w:rsidR="00BB0FAB" w:rsidRPr="00BB0FAB" w:rsidRDefault="00BB0FAB" w:rsidP="00BB0FAB">
      <w:pPr>
        <w:rPr>
          <w:rFonts w:ascii="Times New Roman" w:hAnsi="Times New Roman" w:cs="Times New Roman"/>
          <w:szCs w:val="24"/>
        </w:rPr>
      </w:pPr>
      <w:r>
        <w:rPr>
          <w:rFonts w:ascii="Times New Roman" w:hAnsi="Times New Roman" w:cs="Times New Roman"/>
          <w:szCs w:val="24"/>
        </w:rPr>
        <w:t>Article 9.</w:t>
      </w:r>
      <w:r>
        <w:rPr>
          <w:rFonts w:ascii="Times New Roman" w:hAnsi="Times New Roman" w:cs="Times New Roman" w:hint="eastAsia"/>
          <w:szCs w:val="24"/>
        </w:rPr>
        <w:t xml:space="preserve">　</w:t>
      </w:r>
      <w:r w:rsidRPr="00BB0FAB">
        <w:rPr>
          <w:rFonts w:ascii="Times New Roman" w:hAnsi="Times New Roman" w:cs="Times New Roman"/>
          <w:szCs w:val="24"/>
        </w:rPr>
        <w:t>Implementation and Amendments</w:t>
      </w:r>
    </w:p>
    <w:p w:rsidR="00BB0FAB" w:rsidRPr="00BB0FAB" w:rsidRDefault="00BB0FAB" w:rsidP="00BB0FAB">
      <w:pPr>
        <w:ind w:left="1202"/>
        <w:outlineLvl w:val="0"/>
        <w:rPr>
          <w:rFonts w:ascii="Times New Roman" w:hAnsi="Times New Roman" w:cs="Times New Roman" w:hint="eastAsia"/>
          <w:szCs w:val="24"/>
        </w:rPr>
      </w:pPr>
      <w:r w:rsidRPr="00BB0FAB">
        <w:rPr>
          <w:rFonts w:ascii="Times New Roman" w:hAnsi="Times New Roman" w:cs="Times New Roman"/>
          <w:szCs w:val="24"/>
        </w:rPr>
        <w:t xml:space="preserve">These regulations shall take effect upon approval by </w:t>
      </w:r>
      <w:r>
        <w:rPr>
          <w:rFonts w:ascii="Times New Roman" w:hAnsi="Times New Roman" w:cs="Times New Roman"/>
          <w:szCs w:val="24"/>
        </w:rPr>
        <w:t>CYCU</w:t>
      </w:r>
      <w:r w:rsidRPr="00BB0FAB">
        <w:rPr>
          <w:rFonts w:ascii="Times New Roman" w:hAnsi="Times New Roman" w:cs="Times New Roman"/>
          <w:szCs w:val="24"/>
        </w:rPr>
        <w:t xml:space="preserve"> Administrative Meeting and the President. Any amendments to these regulations shall follow the same procedure.</w:t>
      </w:r>
    </w:p>
    <w:sectPr w:rsidR="00BB0FAB" w:rsidRPr="00BB0FAB" w:rsidSect="00502AEA">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EA"/>
    <w:rsid w:val="00502AEA"/>
    <w:rsid w:val="007740C6"/>
    <w:rsid w:val="00BB0F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5F24"/>
  <w15:chartTrackingRefBased/>
  <w15:docId w15:val="{2A32B558-C7CE-4077-A700-D0EADCD1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莊雅淳(研究推動組)</dc:creator>
  <cp:keywords/>
  <dc:description/>
  <cp:lastModifiedBy>莊雅淳(研究推動組)</cp:lastModifiedBy>
  <cp:revision>1</cp:revision>
  <dcterms:created xsi:type="dcterms:W3CDTF">2024-11-28T11:29:00Z</dcterms:created>
  <dcterms:modified xsi:type="dcterms:W3CDTF">2024-11-28T11:48:00Z</dcterms:modified>
</cp:coreProperties>
</file>