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15" w:rsidRDefault="00BD0972" w:rsidP="00BD0972">
      <w:pPr>
        <w:jc w:val="center"/>
        <w:rPr>
          <w:rFonts w:ascii="Times New Roman" w:hAnsi="Times New Roman"/>
          <w:b/>
          <w:sz w:val="32"/>
        </w:rPr>
      </w:pPr>
      <w:r w:rsidRPr="00BD0972">
        <w:rPr>
          <w:rFonts w:ascii="Times New Roman" w:hAnsi="Times New Roman"/>
          <w:b/>
          <w:sz w:val="32"/>
        </w:rPr>
        <w:t>Chung Yuan Christian University</w:t>
      </w:r>
      <w:r w:rsidRPr="00BD0972">
        <w:rPr>
          <w:rFonts w:ascii="Times New Roman" w:hAnsi="Times New Roman" w:hint="eastAsia"/>
          <w:b/>
          <w:sz w:val="32"/>
        </w:rPr>
        <w:t xml:space="preserve"> </w:t>
      </w:r>
      <w:r w:rsidRPr="00BD0972">
        <w:rPr>
          <w:rFonts w:ascii="Times New Roman" w:hAnsi="Times New Roman"/>
          <w:b/>
          <w:sz w:val="32"/>
        </w:rPr>
        <w:t>Research Cooperation Fund Subsidy Measures</w:t>
      </w:r>
    </w:p>
    <w:p w:rsidR="00BD0972" w:rsidRDefault="00BD0972" w:rsidP="00BD0972">
      <w:pPr>
        <w:jc w:val="right"/>
        <w:rPr>
          <w:rFonts w:ascii="Times New Roman" w:hAnsi="Times New Roman"/>
          <w:sz w:val="18"/>
          <w:szCs w:val="18"/>
        </w:rPr>
      </w:pPr>
    </w:p>
    <w:p w:rsidR="00BD0972" w:rsidRPr="00BD0972" w:rsidRDefault="00BD0972" w:rsidP="00BD0972">
      <w:pPr>
        <w:jc w:val="right"/>
        <w:rPr>
          <w:rFonts w:ascii="Times New Roman" w:hAnsi="Times New Roman"/>
          <w:sz w:val="18"/>
          <w:szCs w:val="18"/>
        </w:rPr>
      </w:pPr>
      <w:r w:rsidRPr="00BD0972">
        <w:rPr>
          <w:rFonts w:ascii="Times New Roman" w:hAnsi="Times New Roman"/>
          <w:sz w:val="18"/>
          <w:szCs w:val="18"/>
        </w:rPr>
        <w:t>Passed by the 820th Executive Meeting on January 5, 2006</w:t>
      </w:r>
    </w:p>
    <w:p w:rsidR="00BD0972" w:rsidRPr="00BD0972" w:rsidRDefault="00BD0972" w:rsidP="00BD0972">
      <w:pPr>
        <w:jc w:val="right"/>
        <w:rPr>
          <w:rFonts w:ascii="Times New Roman" w:hAnsi="Times New Roman"/>
          <w:sz w:val="18"/>
          <w:szCs w:val="18"/>
        </w:rPr>
      </w:pPr>
      <w:r w:rsidRPr="00BD0972">
        <w:rPr>
          <w:rFonts w:ascii="Times New Roman" w:hAnsi="Times New Roman"/>
          <w:sz w:val="18"/>
          <w:szCs w:val="18"/>
        </w:rPr>
        <w:t>Amended by the 836th Executive Meeting on May 10, 2007</w:t>
      </w:r>
    </w:p>
    <w:p w:rsidR="00BD0972" w:rsidRPr="00BD0972" w:rsidRDefault="00BD0972" w:rsidP="00BD0972">
      <w:pPr>
        <w:jc w:val="right"/>
        <w:rPr>
          <w:rFonts w:ascii="Times New Roman" w:hAnsi="Times New Roman"/>
          <w:sz w:val="18"/>
          <w:szCs w:val="18"/>
        </w:rPr>
      </w:pPr>
      <w:r w:rsidRPr="00BD0972">
        <w:rPr>
          <w:rFonts w:ascii="Times New Roman" w:hAnsi="Times New Roman"/>
          <w:sz w:val="18"/>
          <w:szCs w:val="18"/>
        </w:rPr>
        <w:t>Amended by the 863rd Executive Meeting on June 4, 2009</w:t>
      </w:r>
    </w:p>
    <w:p w:rsidR="00BD0972" w:rsidRPr="00BD0972" w:rsidRDefault="00BD0972" w:rsidP="00BD0972">
      <w:pPr>
        <w:jc w:val="right"/>
        <w:rPr>
          <w:rFonts w:ascii="Times New Roman" w:hAnsi="Times New Roman"/>
          <w:sz w:val="18"/>
          <w:szCs w:val="18"/>
        </w:rPr>
      </w:pPr>
      <w:r w:rsidRPr="00BD0972">
        <w:rPr>
          <w:rFonts w:ascii="Times New Roman" w:hAnsi="Times New Roman"/>
          <w:sz w:val="18"/>
          <w:szCs w:val="18"/>
        </w:rPr>
        <w:t>Amended by the 893rd Executive Meeting on January 5, 2012</w:t>
      </w:r>
    </w:p>
    <w:p w:rsidR="00BD0972" w:rsidRPr="00BD0972" w:rsidRDefault="00BD0972" w:rsidP="00BD0972">
      <w:pPr>
        <w:jc w:val="right"/>
        <w:rPr>
          <w:rFonts w:ascii="Times New Roman" w:hAnsi="Times New Roman"/>
          <w:sz w:val="18"/>
          <w:szCs w:val="18"/>
        </w:rPr>
      </w:pPr>
      <w:r w:rsidRPr="00BD0972">
        <w:rPr>
          <w:rFonts w:ascii="Times New Roman" w:hAnsi="Times New Roman"/>
          <w:sz w:val="18"/>
          <w:szCs w:val="18"/>
        </w:rPr>
        <w:t>Amended by the 907th Executive Meeting on April 11, 2013</w:t>
      </w:r>
    </w:p>
    <w:p w:rsidR="00BD0972" w:rsidRPr="00BD0972" w:rsidRDefault="00BD0972" w:rsidP="00BD0972">
      <w:pPr>
        <w:jc w:val="right"/>
        <w:rPr>
          <w:rFonts w:ascii="Times New Roman" w:hAnsi="Times New Roman"/>
          <w:sz w:val="18"/>
          <w:szCs w:val="18"/>
        </w:rPr>
      </w:pPr>
      <w:r w:rsidRPr="00BD0972">
        <w:rPr>
          <w:rFonts w:ascii="Times New Roman" w:hAnsi="Times New Roman"/>
          <w:sz w:val="18"/>
          <w:szCs w:val="18"/>
        </w:rPr>
        <w:t>Amended by the 931st Expanded Executive Meeting on May 7, 2015</w:t>
      </w:r>
    </w:p>
    <w:p w:rsidR="00BD0972" w:rsidRPr="00BD0972" w:rsidRDefault="00BD0972" w:rsidP="00BD0972">
      <w:pPr>
        <w:jc w:val="right"/>
        <w:rPr>
          <w:rFonts w:ascii="Times New Roman" w:hAnsi="Times New Roman"/>
          <w:sz w:val="18"/>
          <w:szCs w:val="18"/>
        </w:rPr>
      </w:pPr>
      <w:r w:rsidRPr="00BD0972">
        <w:rPr>
          <w:rFonts w:ascii="Times New Roman" w:hAnsi="Times New Roman"/>
          <w:sz w:val="18"/>
          <w:szCs w:val="18"/>
        </w:rPr>
        <w:t>Amended based on the original secret letter No. 1050002657 on August 25, 2016</w:t>
      </w:r>
    </w:p>
    <w:p w:rsidR="00BD0972" w:rsidRPr="00BD0972" w:rsidRDefault="00BD0972" w:rsidP="00BD0972">
      <w:pPr>
        <w:jc w:val="right"/>
        <w:rPr>
          <w:rFonts w:ascii="Times New Roman" w:hAnsi="Times New Roman"/>
          <w:sz w:val="18"/>
          <w:szCs w:val="18"/>
        </w:rPr>
      </w:pPr>
      <w:r w:rsidRPr="00BD0972">
        <w:rPr>
          <w:rFonts w:ascii="Times New Roman" w:hAnsi="Times New Roman"/>
          <w:sz w:val="18"/>
          <w:szCs w:val="18"/>
        </w:rPr>
        <w:t>Amended by the 948th Executive Meeting on December 1, 2016</w:t>
      </w:r>
    </w:p>
    <w:p w:rsidR="00BD0972" w:rsidRPr="00BD0972" w:rsidRDefault="00BD0972" w:rsidP="00BD0972">
      <w:pPr>
        <w:jc w:val="right"/>
        <w:rPr>
          <w:rFonts w:ascii="Times New Roman" w:hAnsi="Times New Roman"/>
          <w:sz w:val="18"/>
          <w:szCs w:val="18"/>
        </w:rPr>
      </w:pPr>
      <w:r w:rsidRPr="00BD0972">
        <w:rPr>
          <w:rFonts w:ascii="Times New Roman" w:hAnsi="Times New Roman"/>
          <w:sz w:val="18"/>
          <w:szCs w:val="18"/>
        </w:rPr>
        <w:t>Amended by the 961st Executive Meeting on May 24, 2018</w:t>
      </w:r>
    </w:p>
    <w:p w:rsidR="00BD0972" w:rsidRDefault="00BD0972" w:rsidP="00BD0972">
      <w:pPr>
        <w:jc w:val="right"/>
        <w:rPr>
          <w:rFonts w:ascii="Times New Roman" w:hAnsi="Times New Roman"/>
          <w:sz w:val="18"/>
          <w:szCs w:val="18"/>
        </w:rPr>
      </w:pPr>
      <w:r w:rsidRPr="00BD0972">
        <w:rPr>
          <w:rFonts w:ascii="Times New Roman" w:hAnsi="Times New Roman"/>
          <w:sz w:val="18"/>
          <w:szCs w:val="18"/>
        </w:rPr>
        <w:t>Amended based on the original secret letter No. 1110002691 on August 3, 2022</w:t>
      </w:r>
    </w:p>
    <w:p w:rsidR="00BD0972" w:rsidRDefault="00BD0972" w:rsidP="00BD0972">
      <w:pPr>
        <w:rPr>
          <w:rFonts w:ascii="Times New Roman" w:hAnsi="Times New Roman"/>
          <w:szCs w:val="24"/>
        </w:rPr>
      </w:pPr>
    </w:p>
    <w:p w:rsidR="00BD0972" w:rsidRPr="00BD0972" w:rsidRDefault="00BD0972" w:rsidP="00BD0972">
      <w:pPr>
        <w:rPr>
          <w:rFonts w:ascii="Times New Roman" w:hAnsi="Times New Roman"/>
          <w:szCs w:val="24"/>
        </w:rPr>
      </w:pPr>
      <w:r>
        <w:rPr>
          <w:rFonts w:ascii="Times New Roman" w:hAnsi="Times New Roman"/>
          <w:szCs w:val="24"/>
        </w:rPr>
        <w:t>Article 1.</w:t>
      </w:r>
      <w:r>
        <w:rPr>
          <w:rFonts w:ascii="Times New Roman" w:hAnsi="Times New Roman" w:hint="eastAsia"/>
          <w:szCs w:val="24"/>
        </w:rPr>
        <w:t xml:space="preserve">　</w:t>
      </w:r>
      <w:r w:rsidRPr="00BD0972">
        <w:rPr>
          <w:rFonts w:ascii="Times New Roman" w:hAnsi="Times New Roman"/>
          <w:szCs w:val="24"/>
        </w:rPr>
        <w:t>Purpose</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 xml:space="preserve">Chung Yuan Christian University (hereinafter referred to as </w:t>
      </w:r>
      <w:r>
        <w:rPr>
          <w:rFonts w:ascii="Times New Roman" w:hAnsi="Times New Roman" w:hint="eastAsia"/>
          <w:szCs w:val="24"/>
        </w:rPr>
        <w:t>CYCU</w:t>
      </w:r>
      <w:r w:rsidRPr="00BD0972">
        <w:rPr>
          <w:rFonts w:ascii="Times New Roman" w:hAnsi="Times New Roman"/>
          <w:szCs w:val="24"/>
        </w:rPr>
        <w:t>) has established these guidelines in accordance with the "Chung Yuan Christian University Research Matching Fund Subsidy Regulations" (hereinafter referred to as these Regulations) to provide matching funds for research projects or research development-related fundraising efforts.</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sidRPr="00BD0972">
        <w:rPr>
          <w:rFonts w:ascii="Times New Roman" w:hAnsi="Times New Roman"/>
          <w:szCs w:val="24"/>
        </w:rPr>
        <w:t>Arti</w:t>
      </w:r>
      <w:r>
        <w:rPr>
          <w:rFonts w:ascii="Times New Roman" w:hAnsi="Times New Roman"/>
          <w:szCs w:val="24"/>
        </w:rPr>
        <w:t>cle 2.</w:t>
      </w:r>
      <w:r>
        <w:rPr>
          <w:rFonts w:ascii="Times New Roman" w:hAnsi="Times New Roman" w:hint="eastAsia"/>
          <w:szCs w:val="24"/>
        </w:rPr>
        <w:t xml:space="preserve">　</w:t>
      </w:r>
      <w:r>
        <w:rPr>
          <w:rFonts w:ascii="Times New Roman" w:hAnsi="Times New Roman"/>
          <w:szCs w:val="24"/>
        </w:rPr>
        <w:t>Matching Fund Components</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Matching funds may include equivalent funding for administrative support, equipment, operational costs, and manpower.</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Pr>
          <w:rFonts w:ascii="Times New Roman" w:hAnsi="Times New Roman"/>
          <w:szCs w:val="24"/>
        </w:rPr>
        <w:t>Article 3.</w:t>
      </w:r>
      <w:r>
        <w:rPr>
          <w:rFonts w:ascii="Times New Roman" w:hAnsi="Times New Roman" w:hint="eastAsia"/>
          <w:szCs w:val="24"/>
        </w:rPr>
        <w:t xml:space="preserve">　</w:t>
      </w:r>
      <w:r w:rsidRPr="00BD0972">
        <w:rPr>
          <w:rFonts w:ascii="Times New Roman" w:hAnsi="Times New Roman"/>
          <w:szCs w:val="24"/>
        </w:rPr>
        <w:t>A</w:t>
      </w:r>
      <w:r>
        <w:rPr>
          <w:rFonts w:ascii="Times New Roman" w:hAnsi="Times New Roman"/>
          <w:szCs w:val="24"/>
        </w:rPr>
        <w:t>pplicable Use of Matching Funds</w:t>
      </w:r>
    </w:p>
    <w:p w:rsidR="00BD0972" w:rsidRPr="00BD0972" w:rsidRDefault="00BD0972" w:rsidP="00BD0972">
      <w:pPr>
        <w:ind w:left="1202"/>
        <w:outlineLvl w:val="0"/>
        <w:rPr>
          <w:rFonts w:ascii="Times New Roman" w:hAnsi="Times New Roman"/>
          <w:szCs w:val="24"/>
        </w:rPr>
      </w:pPr>
      <w:r>
        <w:rPr>
          <w:rFonts w:ascii="Times New Roman" w:hAnsi="Times New Roman"/>
          <w:szCs w:val="24"/>
        </w:rPr>
        <w:t>CYCU</w:t>
      </w:r>
      <w:r w:rsidRPr="00BD0972">
        <w:rPr>
          <w:rFonts w:ascii="Times New Roman" w:hAnsi="Times New Roman"/>
          <w:szCs w:val="24"/>
        </w:rPr>
        <w:t>’s research matching funds may be used for both capital expenditures and operating expenses. If a project involves the purchase of equipment, the matching fund allocation for operating expenses should not exceed 40% of the total budget. However, if the project does not include capital expenditures, there are no such limitations. Equipment purchased with capital expenditure funds should be made available for use by all faculty and students to maximize resource utilization. Capital and operating funds may be transferred between categories, but such transfers shall be limited to a maximum of 10% of the original allocated amount.</w:t>
      </w:r>
    </w:p>
    <w:p w:rsidR="00BD0972" w:rsidRPr="00BD0972" w:rsidRDefault="00BD0972" w:rsidP="00BD0972">
      <w:pPr>
        <w:ind w:left="1202"/>
        <w:outlineLvl w:val="0"/>
        <w:rPr>
          <w:rFonts w:ascii="Times New Roman" w:hAnsi="Times New Roman"/>
          <w:szCs w:val="24"/>
        </w:rPr>
      </w:pP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 xml:space="preserve">For projects using </w:t>
      </w:r>
      <w:r>
        <w:rPr>
          <w:rFonts w:ascii="Times New Roman" w:hAnsi="Times New Roman"/>
          <w:szCs w:val="24"/>
        </w:rPr>
        <w:t>CYCU</w:t>
      </w:r>
      <w:r w:rsidRPr="00BD0972">
        <w:rPr>
          <w:rFonts w:ascii="Times New Roman" w:hAnsi="Times New Roman"/>
          <w:szCs w:val="24"/>
        </w:rPr>
        <w:t xml:space="preserve">’s matching funds, if equipment is purchased, the matching fund should be allocated under capital expenditures, and the costs should be proportionately allocated to each piece of equipment. Ownership of the equipment shall belong to </w:t>
      </w:r>
      <w:r>
        <w:rPr>
          <w:rFonts w:ascii="Times New Roman" w:hAnsi="Times New Roman"/>
          <w:szCs w:val="24"/>
        </w:rPr>
        <w:t>CYCU</w:t>
      </w:r>
      <w:r w:rsidRPr="00BD0972">
        <w:rPr>
          <w:rFonts w:ascii="Times New Roman" w:hAnsi="Times New Roman"/>
          <w:szCs w:val="24"/>
        </w:rPr>
        <w:t>.</w:t>
      </w:r>
    </w:p>
    <w:p w:rsidR="00BD0972" w:rsidRPr="00BD0972" w:rsidRDefault="00BD0972" w:rsidP="00BD0972">
      <w:pPr>
        <w:ind w:left="1202"/>
        <w:outlineLvl w:val="0"/>
        <w:rPr>
          <w:rFonts w:ascii="Times New Roman" w:hAnsi="Times New Roman"/>
          <w:szCs w:val="24"/>
        </w:rPr>
      </w:pP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Projects receiving research matching funds cannot allocate funds for project incentives according to the "Chung Yuan Christian University Research and Industry-Academia Collaboration Project Incentive Guidelines."</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Pr>
          <w:rFonts w:ascii="Times New Roman" w:hAnsi="Times New Roman"/>
          <w:szCs w:val="24"/>
        </w:rPr>
        <w:t>Article 4.</w:t>
      </w:r>
      <w:r>
        <w:rPr>
          <w:rFonts w:ascii="Times New Roman" w:hAnsi="Times New Roman" w:hint="eastAsia"/>
          <w:szCs w:val="24"/>
        </w:rPr>
        <w:t xml:space="preserve">　</w:t>
      </w:r>
      <w:r w:rsidRPr="00BD0972">
        <w:rPr>
          <w:rFonts w:ascii="Times New Roman" w:hAnsi="Times New Roman"/>
          <w:szCs w:val="24"/>
        </w:rPr>
        <w:t>Adjus</w:t>
      </w:r>
      <w:r>
        <w:rPr>
          <w:rFonts w:ascii="Times New Roman" w:hAnsi="Times New Roman"/>
          <w:szCs w:val="24"/>
        </w:rPr>
        <w:t>tments to Matching Fund Amounts</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 xml:space="preserve">The actual amount of matching funds provided shall be adjusted according to </w:t>
      </w:r>
      <w:r>
        <w:rPr>
          <w:rFonts w:ascii="Times New Roman" w:hAnsi="Times New Roman"/>
          <w:szCs w:val="24"/>
        </w:rPr>
        <w:t>CYCU</w:t>
      </w:r>
      <w:r w:rsidRPr="00BD0972">
        <w:rPr>
          <w:rFonts w:ascii="Times New Roman" w:hAnsi="Times New Roman"/>
          <w:szCs w:val="24"/>
        </w:rPr>
        <w:t>’s overall budget for the academic year.</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sidRPr="00BD0972">
        <w:rPr>
          <w:rFonts w:ascii="Times New Roman" w:hAnsi="Times New Roman"/>
          <w:szCs w:val="24"/>
        </w:rPr>
        <w:t>Art</w:t>
      </w:r>
      <w:r>
        <w:rPr>
          <w:rFonts w:ascii="Times New Roman" w:hAnsi="Times New Roman"/>
          <w:szCs w:val="24"/>
        </w:rPr>
        <w:t>icle 5.</w:t>
      </w:r>
      <w:r>
        <w:rPr>
          <w:rFonts w:ascii="Times New Roman" w:hAnsi="Times New Roman" w:hint="eastAsia"/>
          <w:szCs w:val="24"/>
        </w:rPr>
        <w:t xml:space="preserve">　</w:t>
      </w:r>
      <w:r>
        <w:rPr>
          <w:rFonts w:ascii="Times New Roman" w:hAnsi="Times New Roman"/>
          <w:szCs w:val="24"/>
        </w:rPr>
        <w:t>Eligibility for Subsidy</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Full-time faculty members who serve as the principal investigator of a research project are eligible to apply for matching funds. As a principle, each individual is eligible for only one subsidy per academic year.</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sidRPr="00BD0972">
        <w:rPr>
          <w:rFonts w:ascii="Times New Roman" w:hAnsi="Times New Roman"/>
          <w:szCs w:val="24"/>
        </w:rPr>
        <w:t>Art</w:t>
      </w:r>
      <w:r>
        <w:rPr>
          <w:rFonts w:ascii="Times New Roman" w:hAnsi="Times New Roman"/>
          <w:szCs w:val="24"/>
        </w:rPr>
        <w:t>icle 6.</w:t>
      </w:r>
      <w:r>
        <w:rPr>
          <w:rFonts w:ascii="Times New Roman" w:hAnsi="Times New Roman" w:hint="eastAsia"/>
          <w:szCs w:val="24"/>
        </w:rPr>
        <w:t xml:space="preserve">　</w:t>
      </w:r>
      <w:r>
        <w:rPr>
          <w:rFonts w:ascii="Times New Roman" w:hAnsi="Times New Roman"/>
          <w:szCs w:val="24"/>
        </w:rPr>
        <w:t>Research Project Themes</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The research theme of a project should align with the key research areas of the respective college or department. Subsidy applications must be submitted in accordance with the following types:</w:t>
      </w:r>
    </w:p>
    <w:p w:rsidR="00BD0972" w:rsidRPr="00BD0972" w:rsidRDefault="00BD0972" w:rsidP="00BD0972">
      <w:pPr>
        <w:ind w:left="1202"/>
        <w:outlineLvl w:val="0"/>
        <w:rPr>
          <w:rFonts w:ascii="Times New Roman" w:hAnsi="Times New Roman"/>
          <w:szCs w:val="24"/>
        </w:rPr>
      </w:pP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 xml:space="preserve">Type 1 Projects: Large-scale research projects funded by government agencies, such as national, cross-disciplinary, integrative, or planning-focused projects. These projects must be recognized by the Research Promotion Committee as having the potential to elevate </w:t>
      </w:r>
      <w:r>
        <w:rPr>
          <w:rFonts w:ascii="Times New Roman" w:hAnsi="Times New Roman"/>
          <w:szCs w:val="24"/>
        </w:rPr>
        <w:t>CYCU</w:t>
      </w:r>
      <w:r w:rsidRPr="00BD0972">
        <w:rPr>
          <w:rFonts w:ascii="Times New Roman" w:hAnsi="Times New Roman"/>
          <w:szCs w:val="24"/>
        </w:rPr>
        <w:t>’s research standards and drive key research fields forward.</w:t>
      </w:r>
    </w:p>
    <w:p w:rsidR="00BD0972" w:rsidRPr="00BD0972" w:rsidRDefault="00BD0972" w:rsidP="00BD0972">
      <w:pPr>
        <w:ind w:left="1202"/>
        <w:outlineLvl w:val="0"/>
        <w:rPr>
          <w:rFonts w:ascii="Times New Roman" w:hAnsi="Times New Roman"/>
          <w:szCs w:val="24"/>
        </w:rPr>
      </w:pP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Type 2 Projects: Research projects that require matching funds as stipulated by government agencies (primarily the National Science and Technology Council).</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Pr>
          <w:rFonts w:ascii="Times New Roman" w:hAnsi="Times New Roman"/>
          <w:szCs w:val="24"/>
        </w:rPr>
        <w:t>Article 7.</w:t>
      </w:r>
      <w:r>
        <w:rPr>
          <w:rFonts w:ascii="Times New Roman" w:hAnsi="Times New Roman" w:hint="eastAsia"/>
          <w:szCs w:val="24"/>
        </w:rPr>
        <w:t xml:space="preserve">　</w:t>
      </w:r>
      <w:r>
        <w:rPr>
          <w:rFonts w:ascii="Times New Roman" w:hAnsi="Times New Roman"/>
          <w:szCs w:val="24"/>
        </w:rPr>
        <w:t>Matching Fund Subsidy Standards</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Type 1 Projects: The subsidy amount shall not exceed 30% of the capital expenditure amount approved by the funding agency.</w:t>
      </w:r>
    </w:p>
    <w:p w:rsidR="00BD0972" w:rsidRPr="00BD0972" w:rsidRDefault="00BD0972" w:rsidP="00BD0972">
      <w:pPr>
        <w:ind w:left="1202"/>
        <w:outlineLvl w:val="0"/>
        <w:rPr>
          <w:rFonts w:ascii="Times New Roman" w:hAnsi="Times New Roman"/>
          <w:szCs w:val="24"/>
        </w:rPr>
      </w:pP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Type 2 Projects: The subsidy amount shall be based on the regulations set by the funding agency.</w:t>
      </w:r>
    </w:p>
    <w:p w:rsidR="00BD0972" w:rsidRPr="00BD0972" w:rsidRDefault="00BD0972" w:rsidP="00BD0972">
      <w:pPr>
        <w:ind w:left="1202"/>
        <w:outlineLvl w:val="0"/>
        <w:rPr>
          <w:rFonts w:ascii="Times New Roman" w:hAnsi="Times New Roman"/>
          <w:szCs w:val="24"/>
        </w:rPr>
      </w:pP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 xml:space="preserve">Research projects that do not fit the above types may be subject to different allocation principles and sharing ratios, subject to discussion and approval by </w:t>
      </w:r>
      <w:r>
        <w:rPr>
          <w:rFonts w:ascii="Times New Roman" w:hAnsi="Times New Roman"/>
          <w:szCs w:val="24"/>
        </w:rPr>
        <w:t>CYCU</w:t>
      </w:r>
      <w:r w:rsidRPr="00BD0972">
        <w:rPr>
          <w:rFonts w:ascii="Times New Roman" w:hAnsi="Times New Roman"/>
          <w:szCs w:val="24"/>
        </w:rPr>
        <w:t>’s Research Promotion Committee.</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Pr>
          <w:rFonts w:ascii="Times New Roman" w:hAnsi="Times New Roman"/>
          <w:szCs w:val="24"/>
        </w:rPr>
        <w:t>Article 8.</w:t>
      </w:r>
      <w:r>
        <w:rPr>
          <w:rFonts w:ascii="Times New Roman" w:hAnsi="Times New Roman" w:hint="eastAsia"/>
          <w:szCs w:val="24"/>
        </w:rPr>
        <w:t xml:space="preserve">　</w:t>
      </w:r>
      <w:r w:rsidRPr="00BD0972">
        <w:rPr>
          <w:rFonts w:ascii="Times New Roman" w:hAnsi="Times New Roman"/>
          <w:szCs w:val="24"/>
        </w:rPr>
        <w:t>Review Crite</w:t>
      </w:r>
      <w:r>
        <w:rPr>
          <w:rFonts w:ascii="Times New Roman" w:hAnsi="Times New Roman"/>
          <w:szCs w:val="24"/>
        </w:rPr>
        <w:t>ria for Matching Fund Subsidies</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The following factors will be considered during the subsidy review process:</w:t>
      </w:r>
    </w:p>
    <w:p w:rsidR="00BD0972" w:rsidRPr="00BD0972" w:rsidRDefault="00BD0972" w:rsidP="00BD0972">
      <w:pPr>
        <w:ind w:left="1202"/>
        <w:outlineLvl w:val="0"/>
        <w:rPr>
          <w:rFonts w:ascii="Times New Roman" w:hAnsi="Times New Roman"/>
          <w:szCs w:val="24"/>
        </w:rPr>
      </w:pP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Existing research outcomes and potential;</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The content and expected outcomes of the proposed project;</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Required equipment and estimated costs;</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Equipment use plan and expected benefits;</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The effectiveness and financial utilization of previous subsidies, evaluated based on patents obtained, technology transfer amounts, related benefits, number of publications, talent cultivation, and other relevant metrics;</w:t>
      </w:r>
    </w:p>
    <w:p w:rsidR="00BD0972" w:rsidRDefault="00BD0972" w:rsidP="00BD0972">
      <w:pPr>
        <w:rPr>
          <w:rFonts w:ascii="Times New Roman" w:hAnsi="Times New Roman"/>
          <w:szCs w:val="24"/>
        </w:rPr>
      </w:pPr>
      <w:r w:rsidRPr="00BD0972">
        <w:rPr>
          <w:rFonts w:ascii="Times New Roman" w:hAnsi="Times New Roman"/>
          <w:szCs w:val="24"/>
        </w:rPr>
        <w:t>Support from the college, department (or research center).</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Pr>
          <w:rFonts w:ascii="Times New Roman" w:hAnsi="Times New Roman"/>
          <w:szCs w:val="24"/>
        </w:rPr>
        <w:t>Article 9.</w:t>
      </w:r>
      <w:r>
        <w:rPr>
          <w:rFonts w:ascii="Times New Roman" w:hAnsi="Times New Roman" w:hint="eastAsia"/>
          <w:szCs w:val="24"/>
        </w:rPr>
        <w:t xml:space="preserve">　</w:t>
      </w:r>
      <w:r w:rsidRPr="00BD0972">
        <w:rPr>
          <w:rFonts w:ascii="Times New Roman" w:hAnsi="Times New Roman"/>
          <w:szCs w:val="24"/>
        </w:rPr>
        <w:t>Fundraisin</w:t>
      </w:r>
      <w:r>
        <w:rPr>
          <w:rFonts w:ascii="Times New Roman" w:hAnsi="Times New Roman"/>
          <w:szCs w:val="24"/>
        </w:rPr>
        <w:t>g and Matching Fund Application</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Units that raise funds for research development needs, with total funds reaching or exceeding NT$2,000,000, may apply for matching funds according to these Regulations. The matching fund allocation will be 50% of the total amount raised.</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sidRPr="00BD0972">
        <w:rPr>
          <w:rFonts w:ascii="Times New Roman" w:hAnsi="Times New Roman"/>
          <w:szCs w:val="24"/>
        </w:rPr>
        <w:t>Article 10.</w:t>
      </w:r>
      <w:r>
        <w:rPr>
          <w:rFonts w:ascii="Times New Roman" w:hAnsi="Times New Roman" w:hint="eastAsia"/>
          <w:szCs w:val="24"/>
        </w:rPr>
        <w:t xml:space="preserve">　</w:t>
      </w:r>
      <w:r w:rsidRPr="00BD0972">
        <w:rPr>
          <w:rFonts w:ascii="Times New Roman" w:hAnsi="Times New Roman"/>
          <w:szCs w:val="24"/>
        </w:rPr>
        <w:t>Fundraising</w:t>
      </w:r>
      <w:r>
        <w:rPr>
          <w:rFonts w:ascii="Times New Roman" w:hAnsi="Times New Roman"/>
          <w:szCs w:val="24"/>
        </w:rPr>
        <w:t xml:space="preserve"> and Matching Fund Distribution</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 xml:space="preserve">When units utilize fundraising funds, the funds raised must first be deposited into </w:t>
      </w:r>
      <w:r>
        <w:rPr>
          <w:rFonts w:ascii="Times New Roman" w:hAnsi="Times New Roman"/>
          <w:szCs w:val="24"/>
        </w:rPr>
        <w:t>CYCU</w:t>
      </w:r>
      <w:r w:rsidRPr="00BD0972">
        <w:rPr>
          <w:rFonts w:ascii="Times New Roman" w:hAnsi="Times New Roman"/>
          <w:szCs w:val="24"/>
        </w:rPr>
        <w:t>’s account. Matching funds will then be allocated based on the proportion of the fundraising amount.</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Pr>
          <w:rFonts w:ascii="Times New Roman" w:hAnsi="Times New Roman"/>
          <w:szCs w:val="24"/>
        </w:rPr>
        <w:t>Article 11.</w:t>
      </w:r>
      <w:r>
        <w:rPr>
          <w:rFonts w:ascii="Times New Roman" w:hAnsi="Times New Roman" w:hint="eastAsia"/>
          <w:szCs w:val="24"/>
        </w:rPr>
        <w:t xml:space="preserve">　</w:t>
      </w:r>
      <w:r w:rsidRPr="00BD0972">
        <w:rPr>
          <w:rFonts w:ascii="Times New Roman" w:hAnsi="Times New Roman"/>
          <w:szCs w:val="24"/>
        </w:rPr>
        <w:t>Fundraisin</w:t>
      </w:r>
      <w:r>
        <w:rPr>
          <w:rFonts w:ascii="Times New Roman" w:hAnsi="Times New Roman"/>
          <w:szCs w:val="24"/>
        </w:rPr>
        <w:t>g Matching Fund Review Criteria</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The following factors will be considered in the review of fundraising matching fund applications:</w:t>
      </w:r>
    </w:p>
    <w:p w:rsidR="00BD0972" w:rsidRPr="00BD0972" w:rsidRDefault="00BD0972" w:rsidP="00BD0972">
      <w:pPr>
        <w:ind w:left="1202"/>
        <w:outlineLvl w:val="0"/>
        <w:rPr>
          <w:rFonts w:ascii="Times New Roman" w:hAnsi="Times New Roman"/>
          <w:szCs w:val="24"/>
        </w:rPr>
      </w:pP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Estimated matching fund amount;</w:t>
      </w:r>
    </w:p>
    <w:p w:rsidR="00BD0972" w:rsidRPr="00BD0972" w:rsidRDefault="00BD0972" w:rsidP="00BD0972">
      <w:pPr>
        <w:rPr>
          <w:rFonts w:ascii="Times New Roman" w:hAnsi="Times New Roman"/>
          <w:szCs w:val="24"/>
        </w:rPr>
      </w:pPr>
      <w:r w:rsidRPr="00BD0972">
        <w:rPr>
          <w:rFonts w:ascii="Times New Roman" w:hAnsi="Times New Roman"/>
          <w:szCs w:val="24"/>
        </w:rPr>
        <w:lastRenderedPageBreak/>
        <w:t>Amount of funds to be raised and timeline;</w:t>
      </w:r>
    </w:p>
    <w:p w:rsidR="00BD0972" w:rsidRDefault="00BD0972" w:rsidP="00BD0972">
      <w:pPr>
        <w:rPr>
          <w:rFonts w:ascii="Times New Roman" w:hAnsi="Times New Roman"/>
          <w:szCs w:val="24"/>
        </w:rPr>
      </w:pPr>
      <w:r w:rsidRPr="00BD0972">
        <w:rPr>
          <w:rFonts w:ascii="Times New Roman" w:hAnsi="Times New Roman"/>
          <w:szCs w:val="24"/>
        </w:rPr>
        <w:t>Planning and expected benefits.</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Pr>
          <w:rFonts w:ascii="Times New Roman" w:hAnsi="Times New Roman"/>
          <w:szCs w:val="24"/>
        </w:rPr>
        <w:t>Article 12.</w:t>
      </w:r>
      <w:r>
        <w:rPr>
          <w:rFonts w:ascii="Times New Roman" w:hAnsi="Times New Roman" w:hint="eastAsia"/>
          <w:szCs w:val="24"/>
        </w:rPr>
        <w:t xml:space="preserve">　</w:t>
      </w:r>
      <w:r w:rsidRPr="00BD0972">
        <w:rPr>
          <w:rFonts w:ascii="Times New Roman" w:hAnsi="Times New Roman"/>
          <w:szCs w:val="24"/>
        </w:rPr>
        <w:t>Acknowledgment of University Res</w:t>
      </w:r>
      <w:r>
        <w:rPr>
          <w:rFonts w:ascii="Times New Roman" w:hAnsi="Times New Roman"/>
          <w:szCs w:val="24"/>
        </w:rPr>
        <w:t>ources in Research Publications</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 xml:space="preserve">Research papers derived from the results of matching fund projects should acknowledge </w:t>
      </w:r>
      <w:r>
        <w:rPr>
          <w:rFonts w:ascii="Times New Roman" w:hAnsi="Times New Roman"/>
          <w:szCs w:val="24"/>
        </w:rPr>
        <w:t>CYCU</w:t>
      </w:r>
      <w:r w:rsidRPr="00BD0972">
        <w:rPr>
          <w:rFonts w:ascii="Times New Roman" w:hAnsi="Times New Roman"/>
          <w:szCs w:val="24"/>
        </w:rPr>
        <w:t xml:space="preserve">’s contribution to the research resources. A copy of the published paper should be submitted to the Research and Development Office for filing. Any income derived from the research, such as patents, shall be handled according to </w:t>
      </w:r>
      <w:r>
        <w:rPr>
          <w:rFonts w:ascii="Times New Roman" w:hAnsi="Times New Roman"/>
          <w:szCs w:val="24"/>
        </w:rPr>
        <w:t>CYCU</w:t>
      </w:r>
      <w:r w:rsidRPr="00BD0972">
        <w:rPr>
          <w:rFonts w:ascii="Times New Roman" w:hAnsi="Times New Roman"/>
          <w:szCs w:val="24"/>
        </w:rPr>
        <w:t>’s Technology Transfer Guidelines.</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Pr>
          <w:rFonts w:ascii="Times New Roman" w:hAnsi="Times New Roman"/>
          <w:szCs w:val="24"/>
        </w:rPr>
        <w:t>Article 13.</w:t>
      </w:r>
      <w:r>
        <w:rPr>
          <w:rFonts w:ascii="Times New Roman" w:hAnsi="Times New Roman" w:hint="eastAsia"/>
          <w:szCs w:val="24"/>
        </w:rPr>
        <w:t xml:space="preserve">　</w:t>
      </w:r>
      <w:r w:rsidRPr="00BD0972">
        <w:rPr>
          <w:rFonts w:ascii="Times New Roman" w:hAnsi="Times New Roman"/>
          <w:szCs w:val="24"/>
        </w:rPr>
        <w:t>Equipmen</w:t>
      </w:r>
      <w:r>
        <w:rPr>
          <w:rFonts w:ascii="Times New Roman" w:hAnsi="Times New Roman"/>
          <w:szCs w:val="24"/>
        </w:rPr>
        <w:t>t Purchased with Matching Funds</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Equipment purchased with matching fund resources shall be managed by the executing unit, and the Research and Development Office must be notified. The equipment should be made available for use by the entire University.</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sidRPr="00BD0972">
        <w:rPr>
          <w:rFonts w:ascii="Times New Roman" w:hAnsi="Times New Roman"/>
          <w:szCs w:val="24"/>
        </w:rPr>
        <w:t>Article 14</w:t>
      </w:r>
      <w:r>
        <w:rPr>
          <w:rFonts w:ascii="Times New Roman" w:hAnsi="Times New Roman"/>
          <w:szCs w:val="24"/>
        </w:rPr>
        <w:t>.</w:t>
      </w:r>
      <w:r>
        <w:rPr>
          <w:rFonts w:ascii="Times New Roman" w:hAnsi="Times New Roman" w:hint="eastAsia"/>
          <w:szCs w:val="24"/>
        </w:rPr>
        <w:t xml:space="preserve">　</w:t>
      </w:r>
      <w:r>
        <w:rPr>
          <w:rFonts w:ascii="Times New Roman" w:hAnsi="Times New Roman"/>
          <w:szCs w:val="24"/>
        </w:rPr>
        <w:t>Fund Expenditure Verification</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 xml:space="preserve">Expenditure of matching funds shall be processed according to </w:t>
      </w:r>
      <w:r>
        <w:rPr>
          <w:rFonts w:ascii="Times New Roman" w:hAnsi="Times New Roman"/>
          <w:szCs w:val="24"/>
        </w:rPr>
        <w:t>CYCU</w:t>
      </w:r>
      <w:r w:rsidRPr="00BD0972">
        <w:rPr>
          <w:rFonts w:ascii="Times New Roman" w:hAnsi="Times New Roman"/>
          <w:szCs w:val="24"/>
        </w:rPr>
        <w:t>’s fiscal year accounting procedures.</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Pr>
          <w:rFonts w:ascii="Times New Roman" w:hAnsi="Times New Roman"/>
          <w:szCs w:val="24"/>
        </w:rPr>
        <w:t>Article 15.</w:t>
      </w:r>
      <w:r>
        <w:rPr>
          <w:rFonts w:ascii="Times New Roman" w:hAnsi="Times New Roman" w:hint="eastAsia"/>
          <w:szCs w:val="24"/>
        </w:rPr>
        <w:t xml:space="preserve">　</w:t>
      </w:r>
      <w:r w:rsidRPr="00BD0972">
        <w:rPr>
          <w:rFonts w:ascii="Times New Roman" w:hAnsi="Times New Roman"/>
          <w:szCs w:val="24"/>
        </w:rPr>
        <w:t>Ma</w:t>
      </w:r>
      <w:r>
        <w:rPr>
          <w:rFonts w:ascii="Times New Roman" w:hAnsi="Times New Roman"/>
          <w:szCs w:val="24"/>
        </w:rPr>
        <w:t>tching Fund Application Process</w:t>
      </w:r>
    </w:p>
    <w:p w:rsidR="00BD0972" w:rsidRPr="00BD0972" w:rsidRDefault="00BD0972" w:rsidP="00BD0972">
      <w:pPr>
        <w:ind w:left="1202"/>
        <w:outlineLvl w:val="0"/>
        <w:rPr>
          <w:rFonts w:ascii="Times New Roman" w:hAnsi="Times New Roman"/>
          <w:szCs w:val="24"/>
        </w:rPr>
      </w:pPr>
      <w:r w:rsidRPr="00BD0972">
        <w:rPr>
          <w:rFonts w:ascii="Times New Roman" w:hAnsi="Times New Roman"/>
          <w:szCs w:val="24"/>
        </w:rPr>
        <w:t xml:space="preserve">Applications for matching funds must be submitted to the Research and Development Office at least two weeks prior to the project submission deadline. Upon approval of the subsidy eligibility by the Research and Development Office, the project application will be accompanied by </w:t>
      </w:r>
      <w:r>
        <w:rPr>
          <w:rFonts w:ascii="Times New Roman" w:hAnsi="Times New Roman"/>
          <w:szCs w:val="24"/>
        </w:rPr>
        <w:t>CYCU</w:t>
      </w:r>
      <w:r w:rsidRPr="00BD0972">
        <w:rPr>
          <w:rFonts w:ascii="Times New Roman" w:hAnsi="Times New Roman"/>
          <w:szCs w:val="24"/>
        </w:rPr>
        <w:t>’s matching fund agreement. Once the project is approved by the funding agency, the principal investigator must submit a matching fund allocation application form to the Research and Development Office within one month, and the budget will be approved by the Research Promotion Committee.</w:t>
      </w:r>
    </w:p>
    <w:p w:rsidR="00BD0972" w:rsidRPr="00BD0972" w:rsidRDefault="00BD0972" w:rsidP="00BD0972">
      <w:pPr>
        <w:rPr>
          <w:rFonts w:ascii="Times New Roman" w:hAnsi="Times New Roman"/>
          <w:szCs w:val="24"/>
        </w:rPr>
      </w:pPr>
    </w:p>
    <w:p w:rsidR="00BD0972" w:rsidRPr="00BD0972" w:rsidRDefault="00BD0972" w:rsidP="00BD0972">
      <w:pPr>
        <w:rPr>
          <w:rFonts w:ascii="Times New Roman" w:hAnsi="Times New Roman" w:hint="eastAsia"/>
          <w:szCs w:val="24"/>
        </w:rPr>
      </w:pPr>
      <w:r w:rsidRPr="00BD0972">
        <w:rPr>
          <w:rFonts w:ascii="Times New Roman" w:hAnsi="Times New Roman"/>
          <w:szCs w:val="24"/>
        </w:rPr>
        <w:t>Article 16</w:t>
      </w:r>
      <w:r>
        <w:rPr>
          <w:rFonts w:ascii="Times New Roman" w:hAnsi="Times New Roman"/>
          <w:szCs w:val="24"/>
        </w:rPr>
        <w:t>.</w:t>
      </w:r>
      <w:bookmarkStart w:id="0" w:name="_GoBack"/>
      <w:bookmarkEnd w:id="0"/>
      <w:r>
        <w:rPr>
          <w:rFonts w:ascii="Times New Roman" w:hAnsi="Times New Roman" w:hint="eastAsia"/>
          <w:szCs w:val="24"/>
        </w:rPr>
        <w:t xml:space="preserve">　</w:t>
      </w:r>
      <w:r>
        <w:rPr>
          <w:rFonts w:ascii="Times New Roman" w:hAnsi="Times New Roman"/>
          <w:szCs w:val="24"/>
        </w:rPr>
        <w:t>Implementation and Amendments</w:t>
      </w:r>
    </w:p>
    <w:p w:rsidR="00BD0972" w:rsidRPr="00BD0972" w:rsidRDefault="00BD0972" w:rsidP="00BD0972">
      <w:pPr>
        <w:ind w:left="1202"/>
        <w:outlineLvl w:val="0"/>
        <w:rPr>
          <w:rFonts w:ascii="Times New Roman" w:hAnsi="Times New Roman" w:hint="eastAsia"/>
          <w:szCs w:val="24"/>
        </w:rPr>
      </w:pPr>
      <w:r w:rsidRPr="00BD0972">
        <w:rPr>
          <w:rFonts w:ascii="Times New Roman" w:hAnsi="Times New Roman"/>
          <w:szCs w:val="24"/>
        </w:rPr>
        <w:t xml:space="preserve">These Regulations shall take effect upon approval by the administrative meeting and promulgation by </w:t>
      </w:r>
      <w:r>
        <w:rPr>
          <w:rFonts w:ascii="Times New Roman" w:hAnsi="Times New Roman"/>
          <w:szCs w:val="24"/>
        </w:rPr>
        <w:t>CYCU</w:t>
      </w:r>
      <w:r w:rsidRPr="00BD0972">
        <w:rPr>
          <w:rFonts w:ascii="Times New Roman" w:hAnsi="Times New Roman"/>
          <w:szCs w:val="24"/>
        </w:rPr>
        <w:t xml:space="preserve"> President. Amendments shall follow the same procedure.</w:t>
      </w:r>
    </w:p>
    <w:sectPr w:rsidR="00BD0972" w:rsidRPr="00BD097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A0"/>
    <w:rsid w:val="003230A0"/>
    <w:rsid w:val="00B06115"/>
    <w:rsid w:val="00BD09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8385"/>
  <w15:chartTrackingRefBased/>
  <w15:docId w15:val="{30446FAF-DDF8-4DB8-8283-7E7140E1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莊雅淳(研究推動組)</dc:creator>
  <cp:keywords/>
  <dc:description/>
  <cp:lastModifiedBy>莊雅淳(研究推動組)</cp:lastModifiedBy>
  <cp:revision>1</cp:revision>
  <dcterms:created xsi:type="dcterms:W3CDTF">2024-11-28T12:35:00Z</dcterms:created>
  <dcterms:modified xsi:type="dcterms:W3CDTF">2024-11-28T12:53:00Z</dcterms:modified>
</cp:coreProperties>
</file>