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8F" w:rsidRDefault="00773FD4" w:rsidP="00773FD4">
      <w:pPr>
        <w:jc w:val="center"/>
        <w:rPr>
          <w:rFonts w:ascii="Times New Roman" w:hAnsi="Times New Roman"/>
          <w:b/>
          <w:sz w:val="32"/>
          <w:szCs w:val="32"/>
        </w:rPr>
      </w:pPr>
      <w:r w:rsidRPr="00773FD4">
        <w:rPr>
          <w:rFonts w:ascii="Times New Roman" w:hAnsi="Times New Roman" w:hint="eastAsia"/>
          <w:b/>
          <w:sz w:val="32"/>
          <w:szCs w:val="32"/>
        </w:rPr>
        <w:t xml:space="preserve">CYCU </w:t>
      </w:r>
      <w:r w:rsidRPr="00773FD4">
        <w:rPr>
          <w:rFonts w:ascii="Times New Roman" w:hAnsi="Times New Roman"/>
          <w:b/>
          <w:sz w:val="32"/>
          <w:szCs w:val="32"/>
        </w:rPr>
        <w:t>Research Center Establishment and Management Measures</w:t>
      </w:r>
    </w:p>
    <w:p w:rsidR="00773FD4" w:rsidRPr="00773FD4" w:rsidRDefault="00773FD4" w:rsidP="00773FD4">
      <w:pPr>
        <w:jc w:val="right"/>
        <w:rPr>
          <w:rFonts w:ascii="Times New Roman" w:hAnsi="Times New Roman"/>
          <w:sz w:val="18"/>
          <w:szCs w:val="18"/>
        </w:rPr>
      </w:pP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Passed by the 739th Executive Meeting on April 16, 1999</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786th Executive Meeting on March 13, 2003</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805th Executive Meeting on October 7, 2004</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814th Executive Meeting on July 14, 2005</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833rd Executive Meeting on February 1, 2007</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837th Executive Meeting on June 14, 2007</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838th Executive Meeting on July 5, 2007</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863rd Executive Meeting on June 4, 2009</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885th Executive Meeting on May 5, 2011</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892nd Executive Meeting on December 1, 2011</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898th Executive Meeting on June 7, 2012</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907th Executive Meeting on April 11, 2013</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based on the original secret letter No. 1030000643 on March 5, 2014</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926th Expanded Executive Meeting on November 6, 2014</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928th Executive Meeting on February 5, 2015</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based on the original secret letter No. 1050002657 on August 25, 2016</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998th Executive Meeting on March 3, 2022</w:t>
      </w:r>
    </w:p>
    <w:p w:rsidR="00773FD4" w:rsidRPr="00773FD4" w:rsidRDefault="00773FD4" w:rsidP="00773FD4">
      <w:pPr>
        <w:jc w:val="right"/>
        <w:rPr>
          <w:rFonts w:ascii="Times New Roman" w:hAnsi="Times New Roman"/>
          <w:sz w:val="18"/>
          <w:szCs w:val="18"/>
        </w:rPr>
      </w:pPr>
      <w:r w:rsidRPr="00773FD4">
        <w:rPr>
          <w:rFonts w:ascii="Times New Roman" w:hAnsi="Times New Roman"/>
          <w:sz w:val="18"/>
          <w:szCs w:val="18"/>
        </w:rPr>
        <w:t>Amended by the 1001st Executive Meeting on June 2, 2022</w:t>
      </w:r>
    </w:p>
    <w:p w:rsidR="00773FD4" w:rsidRDefault="00773FD4" w:rsidP="00773FD4">
      <w:pPr>
        <w:jc w:val="right"/>
        <w:rPr>
          <w:rFonts w:ascii="Times New Roman" w:hAnsi="Times New Roman"/>
          <w:sz w:val="18"/>
          <w:szCs w:val="18"/>
        </w:rPr>
      </w:pPr>
      <w:r w:rsidRPr="00773FD4">
        <w:rPr>
          <w:rFonts w:ascii="Times New Roman" w:hAnsi="Times New Roman"/>
          <w:sz w:val="18"/>
          <w:szCs w:val="18"/>
        </w:rPr>
        <w:t>Amended based on the original secret letter No. 1110002691 on August 3, 2022</w:t>
      </w:r>
    </w:p>
    <w:p w:rsidR="00773FD4" w:rsidRDefault="00773FD4" w:rsidP="00773FD4">
      <w:pPr>
        <w:jc w:val="right"/>
        <w:rPr>
          <w:rFonts w:ascii="Times New Roman" w:hAnsi="Times New Roman"/>
          <w:sz w:val="18"/>
          <w:szCs w:val="18"/>
        </w:rPr>
      </w:pPr>
    </w:p>
    <w:p w:rsidR="00773FD4" w:rsidRPr="00773FD4" w:rsidRDefault="00773FD4" w:rsidP="00773FD4">
      <w:pPr>
        <w:rPr>
          <w:rFonts w:ascii="Times New Roman" w:hAnsi="Times New Roman"/>
          <w:szCs w:val="24"/>
        </w:rPr>
      </w:pPr>
      <w:r>
        <w:rPr>
          <w:rFonts w:ascii="Times New Roman" w:hAnsi="Times New Roman"/>
          <w:szCs w:val="24"/>
        </w:rPr>
        <w:t>Article 1.</w:t>
      </w:r>
      <w:r>
        <w:rPr>
          <w:rFonts w:ascii="Times New Roman" w:hAnsi="Times New Roman" w:hint="eastAsia"/>
          <w:szCs w:val="24"/>
        </w:rPr>
        <w:t xml:space="preserve">　</w:t>
      </w:r>
      <w:r w:rsidRPr="00773FD4">
        <w:rPr>
          <w:rFonts w:ascii="Times New Roman" w:hAnsi="Times New Roman"/>
          <w:szCs w:val="24"/>
        </w:rPr>
        <w:t>Purpose and Basis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To respond to the needs of research and development, enhance industry-academia collaboration, academic research, or academic services, and integrate relevant resources to achieve overall effectiveness, these regulations are established based on Articles 6 and 7 of </w:t>
      </w:r>
      <w:r>
        <w:rPr>
          <w:rFonts w:ascii="Times New Roman" w:hAnsi="Times New Roman"/>
          <w:szCs w:val="24"/>
        </w:rPr>
        <w:t>CYCU</w:t>
      </w:r>
      <w:r w:rsidRPr="00773FD4">
        <w:rPr>
          <w:rFonts w:ascii="Times New Roman" w:hAnsi="Times New Roman"/>
          <w:szCs w:val="24"/>
        </w:rPr>
        <w:t>'s Organizational Regulations.</w:t>
      </w:r>
    </w:p>
    <w:p w:rsidR="00773FD4" w:rsidRPr="00773FD4" w:rsidRDefault="00773FD4" w:rsidP="00773FD4">
      <w:pPr>
        <w:rPr>
          <w:rFonts w:ascii="Times New Roman" w:hAnsi="Times New Roman"/>
          <w:szCs w:val="24"/>
        </w:rPr>
      </w:pPr>
    </w:p>
    <w:p w:rsidR="00773FD4" w:rsidRPr="00773FD4" w:rsidRDefault="00773FD4" w:rsidP="00773FD4">
      <w:pPr>
        <w:rPr>
          <w:rFonts w:ascii="Times New Roman" w:hAnsi="Times New Roman"/>
          <w:szCs w:val="24"/>
        </w:rPr>
      </w:pPr>
      <w:r>
        <w:rPr>
          <w:rFonts w:ascii="Times New Roman" w:hAnsi="Times New Roman"/>
          <w:szCs w:val="24"/>
        </w:rPr>
        <w:t>Article 2.</w:t>
      </w:r>
      <w:r>
        <w:rPr>
          <w:rFonts w:ascii="Times New Roman" w:hAnsi="Times New Roman" w:hint="eastAsia"/>
          <w:szCs w:val="24"/>
        </w:rPr>
        <w:t xml:space="preserve">　</w:t>
      </w:r>
      <w:r w:rsidRPr="00773FD4">
        <w:rPr>
          <w:rFonts w:ascii="Times New Roman" w:hAnsi="Times New Roman"/>
          <w:szCs w:val="24"/>
        </w:rPr>
        <w:t>Establishment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A research center may be established by at least three full-time assistant professors at </w:t>
      </w:r>
      <w:r>
        <w:rPr>
          <w:rFonts w:ascii="Times New Roman" w:hAnsi="Times New Roman"/>
          <w:szCs w:val="24"/>
        </w:rPr>
        <w:t>CYCU</w:t>
      </w:r>
      <w:r w:rsidRPr="00773FD4">
        <w:rPr>
          <w:rFonts w:ascii="Times New Roman" w:hAnsi="Times New Roman"/>
          <w:szCs w:val="24"/>
        </w:rPr>
        <w:t xml:space="preserve">. The establishment of such a center should align with the needs of research integration and practical application. Two types of research centers may be established: one for undertaking industry-academia cooperation projects, and the other for academic </w:t>
      </w:r>
      <w:r w:rsidRPr="00773FD4">
        <w:rPr>
          <w:rFonts w:ascii="Times New Roman" w:hAnsi="Times New Roman"/>
          <w:szCs w:val="24"/>
        </w:rPr>
        <w:lastRenderedPageBreak/>
        <w:t>research or academic services.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The research center must specify in its project application whether it intends to be evaluated as an "industry-academia cooperation project type" or as an "academic research or academic service type." Once chosen, the evaluation type can only be changed with the approval of the Research Promotion Committee.</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Research centers are affiliated with the respective colleges and should operate on a self-sustaining basis. The establishment of a research center requires the submission of an application form, which must be approved by the respective college before being reviewed by the Research Promotion Committee.</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Each research center shall establish a Research Center Committee, responsible for reviewing the use of funds and business promotion. The committee members must consist of at least three full-time assistant professors from </w:t>
      </w:r>
      <w:r>
        <w:rPr>
          <w:rFonts w:ascii="Times New Roman" w:hAnsi="Times New Roman"/>
          <w:szCs w:val="24"/>
        </w:rPr>
        <w:t>CYCU</w:t>
      </w:r>
      <w:r w:rsidRPr="00773FD4">
        <w:rPr>
          <w:rFonts w:ascii="Times New Roman" w:hAnsi="Times New Roman"/>
          <w:szCs w:val="24"/>
        </w:rPr>
        <w: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Upon approval by the Research Promotion Committee, a joint research center may be formed to integrate existing research centers within </w:t>
      </w:r>
      <w:r>
        <w:rPr>
          <w:rFonts w:ascii="Times New Roman" w:hAnsi="Times New Roman"/>
          <w:szCs w:val="24"/>
        </w:rPr>
        <w:t>CYCU</w:t>
      </w:r>
      <w:r w:rsidRPr="00773FD4">
        <w:rPr>
          <w:rFonts w:ascii="Times New Roman" w:hAnsi="Times New Roman"/>
          <w:szCs w:val="24"/>
        </w:rPr>
        <w:t xml:space="preserve">. If necessary, the center may cooperate with external institutions to expand research and development capabilities, develop </w:t>
      </w:r>
      <w:r>
        <w:rPr>
          <w:rFonts w:ascii="Times New Roman" w:hAnsi="Times New Roman"/>
          <w:szCs w:val="24"/>
        </w:rPr>
        <w:t>CYCU</w:t>
      </w:r>
      <w:r w:rsidRPr="00773FD4">
        <w:rPr>
          <w:rFonts w:ascii="Times New Roman" w:hAnsi="Times New Roman"/>
          <w:szCs w:val="24"/>
        </w:rPr>
        <w:t>'s unique characteristics, and seek large-scale projects.</w:t>
      </w:r>
    </w:p>
    <w:p w:rsidR="00773FD4" w:rsidRPr="00773FD4" w:rsidRDefault="00773FD4" w:rsidP="00773FD4">
      <w:pPr>
        <w:ind w:left="1202"/>
        <w:outlineLvl w:val="0"/>
        <w:rPr>
          <w:rFonts w:ascii="Times New Roman" w:hAnsi="Times New Roman"/>
          <w:szCs w:val="24"/>
        </w:rPr>
      </w:pPr>
    </w:p>
    <w:p w:rsidR="00773FD4" w:rsidRPr="00773FD4" w:rsidRDefault="00773FD4" w:rsidP="00773FD4">
      <w:pPr>
        <w:rPr>
          <w:rFonts w:ascii="Times New Roman" w:hAnsi="Times New Roman"/>
          <w:szCs w:val="24"/>
        </w:rPr>
      </w:pPr>
      <w:r>
        <w:rPr>
          <w:rFonts w:ascii="Times New Roman" w:hAnsi="Times New Roman"/>
          <w:szCs w:val="24"/>
        </w:rPr>
        <w:t>Article 3.</w:t>
      </w:r>
      <w:r>
        <w:rPr>
          <w:rFonts w:ascii="Times New Roman" w:hAnsi="Times New Roman" w:hint="eastAsia"/>
          <w:szCs w:val="24"/>
        </w:rPr>
        <w:t xml:space="preserve">　</w:t>
      </w:r>
      <w:r w:rsidRPr="00773FD4">
        <w:rPr>
          <w:rFonts w:ascii="Times New Roman" w:hAnsi="Times New Roman"/>
          <w:szCs w:val="24"/>
        </w:rPr>
        <w:t>Tasks and Regulations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The research center's primary task is to undertake research projects, which must be approved by </w:t>
      </w:r>
      <w:r>
        <w:rPr>
          <w:rFonts w:ascii="Times New Roman" w:hAnsi="Times New Roman"/>
          <w:szCs w:val="24"/>
        </w:rPr>
        <w:t>CYCU</w:t>
      </w:r>
      <w:r w:rsidRPr="00773FD4">
        <w:rPr>
          <w:rFonts w:ascii="Times New Roman" w:hAnsi="Times New Roman"/>
          <w:szCs w:val="24"/>
        </w:rPr>
        <w: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Once a project is accepted, the principal investigator must decide on the executing unit within one month, and no further changes may be made.</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The procedures for managing projects and purchasing equipment, as well as reimbursement procedures, shall follow the "Chung Yuan Christian University Industry-Academia Cooperation Implementation Guidelines."</w:t>
      </w:r>
    </w:p>
    <w:p w:rsidR="00773FD4" w:rsidRPr="00773FD4" w:rsidRDefault="00773FD4" w:rsidP="00773FD4">
      <w:pPr>
        <w:rPr>
          <w:rFonts w:ascii="Times New Roman" w:hAnsi="Times New Roman"/>
          <w:szCs w:val="24"/>
        </w:rPr>
      </w:pPr>
    </w:p>
    <w:p w:rsidR="00773FD4" w:rsidRPr="00773FD4" w:rsidRDefault="00773FD4" w:rsidP="00773FD4">
      <w:pPr>
        <w:rPr>
          <w:rFonts w:ascii="Times New Roman" w:hAnsi="Times New Roman"/>
          <w:szCs w:val="24"/>
        </w:rPr>
      </w:pPr>
      <w:r>
        <w:rPr>
          <w:rFonts w:ascii="Times New Roman" w:hAnsi="Times New Roman"/>
          <w:szCs w:val="24"/>
        </w:rPr>
        <w:t>Article 4.</w:t>
      </w:r>
      <w:r>
        <w:rPr>
          <w:rFonts w:ascii="Times New Roman" w:hAnsi="Times New Roman" w:hint="eastAsia"/>
          <w:szCs w:val="24"/>
        </w:rPr>
        <w:t xml:space="preserve">　</w:t>
      </w:r>
      <w:r w:rsidRPr="00773FD4">
        <w:rPr>
          <w:rFonts w:ascii="Times New Roman" w:hAnsi="Times New Roman"/>
          <w:szCs w:val="24"/>
        </w:rPr>
        <w:t>Appointment of Center Director and Staff Recruitment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The research center shall have one director, who is elected by the full-time faculty participating in the center's operation. The director's term is two years and may be renewed. Full-time faculty may serve as directors of only one research center.</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The center may have one or more deputy directors, appointed by the director. In addition, based on business needs, the center may hire a number of administrative, research, or technical staff on a contract basis. </w:t>
      </w:r>
      <w:r w:rsidRPr="00773FD4">
        <w:rPr>
          <w:rFonts w:ascii="Times New Roman" w:hAnsi="Times New Roman"/>
          <w:szCs w:val="24"/>
        </w:rPr>
        <w:lastRenderedPageBreak/>
        <w:t>The necessary funds for these positions are to be paid by the respective research center.</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The appointment, changes, and personnel information of the research center director should be reported to the Research and Development Office for record-keeping.</w:t>
      </w:r>
    </w:p>
    <w:p w:rsidR="00773FD4" w:rsidRPr="00773FD4" w:rsidRDefault="00773FD4" w:rsidP="00773FD4">
      <w:pPr>
        <w:rPr>
          <w:rFonts w:ascii="Times New Roman" w:hAnsi="Times New Roman"/>
          <w:szCs w:val="24"/>
        </w:rPr>
      </w:pPr>
    </w:p>
    <w:p w:rsidR="00773FD4" w:rsidRPr="00773FD4" w:rsidRDefault="00773FD4" w:rsidP="00773FD4">
      <w:pPr>
        <w:rPr>
          <w:rFonts w:ascii="Times New Roman" w:hAnsi="Times New Roman"/>
          <w:szCs w:val="24"/>
        </w:rPr>
      </w:pPr>
      <w:r>
        <w:rPr>
          <w:rFonts w:ascii="Times New Roman" w:hAnsi="Times New Roman"/>
          <w:szCs w:val="24"/>
        </w:rPr>
        <w:t>Article 5.</w:t>
      </w:r>
      <w:r>
        <w:rPr>
          <w:rFonts w:ascii="Times New Roman" w:hAnsi="Times New Roman" w:hint="eastAsia"/>
          <w:szCs w:val="24"/>
        </w:rPr>
        <w:t xml:space="preserve">　</w:t>
      </w:r>
      <w:r w:rsidRPr="00773FD4">
        <w:rPr>
          <w:rFonts w:ascii="Times New Roman" w:hAnsi="Times New Roman"/>
          <w:szCs w:val="24"/>
        </w:rPr>
        <w:t>Evaluation</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Research centers that have been established for three years or more must undergo an evaluation every year. Newly established centers may apply for evaluation one year after establishment. The evaluation period is from September to October each year.</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Research centers will be evaluated according to the following categories based on the type selected:</w:t>
      </w:r>
    </w:p>
    <w:p w:rsidR="00773FD4" w:rsidRPr="00773FD4" w:rsidRDefault="00773FD4" w:rsidP="00773FD4">
      <w:pPr>
        <w:ind w:left="1202"/>
        <w:outlineLvl w:val="0"/>
        <w:rPr>
          <w:rFonts w:ascii="Times New Roman" w:hAnsi="Times New Roman"/>
          <w:szCs w:val="24"/>
        </w:rPr>
      </w:pP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Industry-Academia Cooperation Type: Evaluated based on the average annual management fees and technology transfer income from the past three years, or the amount of a single project contract, as follows: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(1) Category 1: Average annual management fees and technology transfer income of over NT$2 million, or a single project amount exceeding NT$100 million.</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(2) Category 2: Average annual management fees and technology transfer income between NT$500,000 and NT$2 million, or a single project amount between NT$50 million and NT$100 million.</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(3) Category 3: Average annual management fees and technology transfer income between NT$150,000 and NT$500,000.</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(4) Category 4: Average annual management fees and technology transfer income under NT$150,000.</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Academic Research or Academic Service Type: Evaluated based on the academic research and academic exchange outcomes in the three years prior to the evaluation year, the contribution of results to society, the execution of projects, external resource acquisition, and other related academic developments. Evaluation standards will be defined separately.</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Centers must submit their annual performance and future development plans to the Research and Development Office by the end of September. If necessary, they will present their results at the Research Promotion Committee meeting. The evaluation is categorized as follows: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(1) Category 1: Center rated "Excellent."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(2) Category 2: Center rated "Good."</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lastRenderedPageBreak/>
        <w:t>(3) Category 3: Center rated "Satisfactory."</w:t>
      </w:r>
    </w:p>
    <w:p w:rsidR="00773FD4" w:rsidRDefault="00773FD4" w:rsidP="00773FD4">
      <w:pPr>
        <w:ind w:left="1202"/>
        <w:outlineLvl w:val="0"/>
        <w:rPr>
          <w:rFonts w:ascii="Times New Roman" w:hAnsi="Times New Roman"/>
          <w:szCs w:val="24"/>
        </w:rPr>
      </w:pPr>
      <w:r w:rsidRPr="00773FD4">
        <w:rPr>
          <w:rFonts w:ascii="Times New Roman" w:hAnsi="Times New Roman"/>
          <w:szCs w:val="24"/>
        </w:rPr>
        <w:t>(4) Category 4: Center rated "Needs Improvement."</w:t>
      </w:r>
    </w:p>
    <w:p w:rsidR="00773FD4" w:rsidRPr="00773FD4" w:rsidRDefault="00773FD4" w:rsidP="00773FD4">
      <w:pPr>
        <w:rPr>
          <w:rFonts w:ascii="Times New Roman" w:hAnsi="Times New Roman"/>
          <w:szCs w:val="24"/>
        </w:rPr>
      </w:pPr>
    </w:p>
    <w:p w:rsidR="00773FD4" w:rsidRPr="00773FD4" w:rsidRDefault="00773FD4" w:rsidP="00773FD4">
      <w:pPr>
        <w:rPr>
          <w:rFonts w:ascii="Times New Roman" w:hAnsi="Times New Roman" w:hint="eastAsia"/>
          <w:szCs w:val="24"/>
        </w:rPr>
      </w:pPr>
      <w:r>
        <w:rPr>
          <w:rFonts w:ascii="Times New Roman" w:hAnsi="Times New Roman"/>
          <w:szCs w:val="24"/>
        </w:rPr>
        <w:t>Article 6.</w:t>
      </w:r>
      <w:r>
        <w:rPr>
          <w:rFonts w:ascii="Times New Roman" w:hAnsi="Times New Roman" w:hint="eastAsia"/>
          <w:szCs w:val="24"/>
        </w:rPr>
        <w:t xml:space="preserve">　</w:t>
      </w:r>
      <w:r>
        <w:rPr>
          <w:rFonts w:ascii="Times New Roman" w:hAnsi="Times New Roman"/>
          <w:szCs w:val="24"/>
        </w:rPr>
        <w:t>Incentives for Research Centers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Category 1: Research centers rated as "Category 1" may apply to become a university-wide research center under Article 7, Clause 4 of </w:t>
      </w:r>
      <w:r>
        <w:rPr>
          <w:rFonts w:ascii="Times New Roman" w:hAnsi="Times New Roman"/>
          <w:szCs w:val="24"/>
        </w:rPr>
        <w:t>CYCU</w:t>
      </w:r>
      <w:r w:rsidRPr="00773FD4">
        <w:rPr>
          <w:rFonts w:ascii="Times New Roman" w:hAnsi="Times New Roman"/>
          <w:szCs w:val="24"/>
        </w:rPr>
        <w:t>’s Organizational Regulations.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Reduction in Teaching Hours: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(1) Category 1: The center's director and deputy director may apply for a reduction of up to six hours of teaching in the next semester (a maximum of four hours per applicant).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(2) Category 2: The director may apply for a reduction of up to two hours of teaching in the next semester.</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The application for reduced teaching hours must be submitted to the Human Resources Office three months before the start of the semester. The research center will bear the cost of these reduced hours. No additional payment will be made for hours worked beyond the reduced hours.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Reward Funds: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(1) Industry-Academia Cooperation Type: The reward fund is calculated as 5% of the total management fees from projects undertaken in the previous year, based on the "Chung Yuan Christian University Industry-Academia Cooperation Implementation Guidelines." No rewards are given for Category 4 centers.</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(2) Academic Research or Academic Service Type:</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Category 1: NT$40,000.</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Category 2: NT$24,000.</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Category 3: NT$8,000.</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Category 4: No reward.</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If the total reward funds exceed the annual budget, the actual amount disbursed will be adjusted based on the relevant budget for the year and the rewards calculated according to this regulation. The Research Promotion Committee will determine the percentage value for adjustment.</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Each research center must allocate 10% of its reward funds to the college directly affiliated with the executing unit and 90% to the executing unit. Of the 90% allocated to the executing unit, the funds will be distributed between the executing unit and the project principal investigator, with the </w:t>
      </w:r>
      <w:r w:rsidRPr="00773FD4">
        <w:rPr>
          <w:rFonts w:ascii="Times New Roman" w:hAnsi="Times New Roman"/>
          <w:szCs w:val="24"/>
        </w:rPr>
        <w:lastRenderedPageBreak/>
        <w:t>principal investigator receiving no less than 60%.</w:t>
      </w:r>
    </w:p>
    <w:p w:rsidR="00773FD4" w:rsidRDefault="00773FD4" w:rsidP="00773FD4">
      <w:pPr>
        <w:ind w:left="1202"/>
        <w:outlineLvl w:val="0"/>
        <w:rPr>
          <w:rFonts w:ascii="Times New Roman" w:hAnsi="Times New Roman"/>
          <w:szCs w:val="24"/>
        </w:rPr>
      </w:pPr>
      <w:r w:rsidRPr="00773FD4">
        <w:rPr>
          <w:rFonts w:ascii="Times New Roman" w:hAnsi="Times New Roman"/>
          <w:szCs w:val="24"/>
        </w:rPr>
        <w:t>Reward funds will be allocated in December of each year and included in the research center's annual budget. The funds must be used within three years of allocation. Acceptable uses include personnel costs, business expenses, equipment costs, academic activities, public relations, research promotion, utilities, etc.</w:t>
      </w:r>
    </w:p>
    <w:p w:rsidR="00773FD4" w:rsidRPr="00773FD4" w:rsidRDefault="00773FD4" w:rsidP="00773FD4">
      <w:pPr>
        <w:ind w:left="1202"/>
        <w:outlineLvl w:val="0"/>
        <w:rPr>
          <w:rFonts w:ascii="Times New Roman" w:hAnsi="Times New Roman"/>
          <w:szCs w:val="24"/>
        </w:rPr>
      </w:pPr>
      <w:bookmarkStart w:id="0" w:name="_GoBack"/>
      <w:bookmarkEnd w:id="0"/>
    </w:p>
    <w:p w:rsidR="00773FD4" w:rsidRPr="00773FD4" w:rsidRDefault="00773FD4" w:rsidP="00773FD4">
      <w:pPr>
        <w:rPr>
          <w:rFonts w:ascii="Times New Roman" w:hAnsi="Times New Roman"/>
          <w:szCs w:val="24"/>
        </w:rPr>
      </w:pPr>
      <w:r>
        <w:rPr>
          <w:rFonts w:ascii="Times New Roman" w:hAnsi="Times New Roman"/>
          <w:szCs w:val="24"/>
        </w:rPr>
        <w:t>Article 7.</w:t>
      </w:r>
      <w:r>
        <w:rPr>
          <w:rFonts w:ascii="Times New Roman" w:hAnsi="Times New Roman" w:hint="eastAsia"/>
          <w:szCs w:val="24"/>
        </w:rPr>
        <w:t xml:space="preserve">　</w:t>
      </w:r>
      <w:r w:rsidRPr="00773FD4">
        <w:rPr>
          <w:rFonts w:ascii="Times New Roman" w:hAnsi="Times New Roman"/>
          <w:szCs w:val="24"/>
        </w:rPr>
        <w:t>Space Usage</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Research centers may request space according to their needs. The request will be reviewed by the Research Promotion Committee and then submitted to </w:t>
      </w:r>
      <w:r>
        <w:rPr>
          <w:rFonts w:ascii="Times New Roman" w:hAnsi="Times New Roman"/>
          <w:szCs w:val="24"/>
        </w:rPr>
        <w:t>CYCU</w:t>
      </w:r>
      <w:r w:rsidRPr="00773FD4">
        <w:rPr>
          <w:rFonts w:ascii="Times New Roman" w:hAnsi="Times New Roman"/>
          <w:szCs w:val="24"/>
        </w:rPr>
        <w:t>'s Space Allocation Committee for approval.</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Research centers will bear the costs of space usage and utilities.</w:t>
      </w:r>
    </w:p>
    <w:p w:rsidR="00773FD4" w:rsidRPr="00773FD4" w:rsidRDefault="00773FD4" w:rsidP="00773FD4">
      <w:pPr>
        <w:rPr>
          <w:rFonts w:ascii="Times New Roman" w:hAnsi="Times New Roman"/>
          <w:szCs w:val="24"/>
        </w:rPr>
      </w:pPr>
    </w:p>
    <w:p w:rsidR="00773FD4" w:rsidRPr="00773FD4" w:rsidRDefault="00773FD4" w:rsidP="00773FD4">
      <w:pPr>
        <w:rPr>
          <w:rFonts w:ascii="Times New Roman" w:hAnsi="Times New Roman"/>
          <w:szCs w:val="24"/>
        </w:rPr>
      </w:pPr>
      <w:r>
        <w:rPr>
          <w:rFonts w:ascii="Times New Roman" w:hAnsi="Times New Roman"/>
          <w:szCs w:val="24"/>
        </w:rPr>
        <w:t>Article 8.</w:t>
      </w:r>
      <w:r>
        <w:rPr>
          <w:rFonts w:ascii="Times New Roman" w:hAnsi="Times New Roman" w:hint="eastAsia"/>
          <w:szCs w:val="24"/>
        </w:rPr>
        <w:t xml:space="preserve">　</w:t>
      </w:r>
      <w:r w:rsidRPr="00773FD4">
        <w:rPr>
          <w:rFonts w:ascii="Times New Roman" w:hAnsi="Times New Roman"/>
          <w:szCs w:val="24"/>
        </w:rPr>
        <w:t>Termination</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Research centers rated as Category 4 for two consecutive years will be subject to review by the Research Promotion Committee for possible termination.</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If a research center disagrees with the termination decision, it may appeal within 30 days of receiving the notification. The appeal will be considered if two-thirds of the Research Promotion Committee members attend the meeting and two-thirds of the attendees agree to continue the center.</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The termination of a research center will take effect after all contracts signed before the termination notice is completed.</w:t>
      </w:r>
    </w:p>
    <w:p w:rsidR="00773FD4" w:rsidRPr="00773FD4" w:rsidRDefault="00773FD4" w:rsidP="00773FD4">
      <w:pPr>
        <w:rPr>
          <w:rFonts w:ascii="Times New Roman" w:hAnsi="Times New Roman"/>
          <w:szCs w:val="24"/>
        </w:rPr>
      </w:pPr>
    </w:p>
    <w:p w:rsidR="00773FD4" w:rsidRPr="00773FD4" w:rsidRDefault="00773FD4" w:rsidP="00773FD4">
      <w:pPr>
        <w:rPr>
          <w:rFonts w:ascii="Times New Roman" w:hAnsi="Times New Roman"/>
          <w:szCs w:val="24"/>
        </w:rPr>
      </w:pPr>
      <w:r>
        <w:rPr>
          <w:rFonts w:ascii="Times New Roman" w:hAnsi="Times New Roman"/>
          <w:szCs w:val="24"/>
        </w:rPr>
        <w:t>Article 9.</w:t>
      </w:r>
      <w:r>
        <w:rPr>
          <w:rFonts w:ascii="Times New Roman" w:hAnsi="Times New Roman" w:hint="eastAsia"/>
          <w:szCs w:val="24"/>
        </w:rPr>
        <w:t xml:space="preserve">　</w:t>
      </w:r>
      <w:r w:rsidRPr="00773FD4">
        <w:rPr>
          <w:rFonts w:ascii="Times New Roman" w:hAnsi="Times New Roman"/>
          <w:szCs w:val="24"/>
        </w:rPr>
        <w:t>Implementation</w:t>
      </w:r>
    </w:p>
    <w:p w:rsidR="00773FD4" w:rsidRPr="00773FD4" w:rsidRDefault="00773FD4" w:rsidP="00773FD4">
      <w:pPr>
        <w:ind w:left="1202"/>
        <w:outlineLvl w:val="0"/>
        <w:rPr>
          <w:rFonts w:ascii="Times New Roman" w:hAnsi="Times New Roman"/>
          <w:szCs w:val="24"/>
        </w:rPr>
      </w:pPr>
      <w:r w:rsidRPr="00773FD4">
        <w:rPr>
          <w:rFonts w:ascii="Times New Roman" w:hAnsi="Times New Roman"/>
          <w:szCs w:val="24"/>
        </w:rPr>
        <w:t xml:space="preserve">These regulations are implemented after approval by the Administrative Council and </w:t>
      </w:r>
      <w:r>
        <w:rPr>
          <w:rFonts w:ascii="Times New Roman" w:hAnsi="Times New Roman"/>
          <w:szCs w:val="24"/>
        </w:rPr>
        <w:t>CYCU</w:t>
      </w:r>
      <w:r w:rsidRPr="00773FD4">
        <w:rPr>
          <w:rFonts w:ascii="Times New Roman" w:hAnsi="Times New Roman"/>
          <w:szCs w:val="24"/>
        </w:rPr>
        <w:t xml:space="preserve"> President. Any amendments will follow the same procedure.</w:t>
      </w:r>
    </w:p>
    <w:sectPr w:rsidR="00773FD4" w:rsidRPr="00773F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6D"/>
    <w:rsid w:val="0000476D"/>
    <w:rsid w:val="00773FD4"/>
    <w:rsid w:val="00E27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0B69"/>
  <w15:chartTrackingRefBased/>
  <w15:docId w15:val="{F00AFFA7-C0CD-459B-8D23-094116D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2</cp:revision>
  <dcterms:created xsi:type="dcterms:W3CDTF">2024-11-29T01:40:00Z</dcterms:created>
  <dcterms:modified xsi:type="dcterms:W3CDTF">2024-11-29T01:45:00Z</dcterms:modified>
</cp:coreProperties>
</file>